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89EBB1" w14:textId="179B7C1A" w:rsidR="00214D83" w:rsidRDefault="00214D83" w:rsidP="00214D83">
      <w:pPr>
        <w:pStyle w:val="Normlnweb"/>
        <w:shd w:val="clear" w:color="auto" w:fill="FFFFFF"/>
        <w:spacing w:before="0" w:beforeAutospacing="0" w:after="240" w:afterAutospacing="0"/>
        <w:jc w:val="center"/>
        <w:rPr>
          <w:sz w:val="96"/>
          <w:szCs w:val="96"/>
        </w:rPr>
      </w:pPr>
      <w:bookmarkStart w:id="0" w:name="_Toc512191336"/>
      <w:r>
        <w:rPr>
          <w:sz w:val="96"/>
          <w:szCs w:val="96"/>
        </w:rPr>
        <w:t>Struktura monosacharidů</w:t>
      </w:r>
    </w:p>
    <w:p w14:paraId="42F4B09C" w14:textId="43885514" w:rsidR="00214D83" w:rsidRPr="00214D83" w:rsidRDefault="00214D83" w:rsidP="00214D83">
      <w:pPr>
        <w:pStyle w:val="Normlnweb"/>
        <w:shd w:val="clear" w:color="auto" w:fill="FFFFFF"/>
        <w:spacing w:before="0" w:beforeAutospacing="0" w:after="240" w:afterAutospacing="0"/>
        <w:jc w:val="center"/>
        <w:rPr>
          <w:sz w:val="56"/>
          <w:szCs w:val="56"/>
        </w:rPr>
      </w:pPr>
      <w:r w:rsidRPr="00214D83">
        <w:rPr>
          <w:sz w:val="56"/>
          <w:szCs w:val="56"/>
        </w:rPr>
        <w:t>-</w:t>
      </w:r>
    </w:p>
    <w:p w14:paraId="1AD6F52C" w14:textId="6034ADAA" w:rsidR="00214D83" w:rsidRPr="00214D83" w:rsidRDefault="00214D83" w:rsidP="00214D83">
      <w:pPr>
        <w:pStyle w:val="Normlnweb"/>
        <w:shd w:val="clear" w:color="auto" w:fill="FFFFFF"/>
        <w:spacing w:before="0" w:beforeAutospacing="0" w:after="240" w:afterAutospacing="0"/>
        <w:jc w:val="center"/>
        <w:rPr>
          <w:sz w:val="56"/>
          <w:szCs w:val="56"/>
        </w:rPr>
      </w:pPr>
      <w:r w:rsidRPr="00214D83">
        <w:rPr>
          <w:sz w:val="56"/>
          <w:szCs w:val="56"/>
        </w:rPr>
        <w:t>didaktické poznámky</w:t>
      </w:r>
    </w:p>
    <w:p w14:paraId="0923A6B8" w14:textId="77777777" w:rsidR="00214D83" w:rsidRPr="006957A3" w:rsidRDefault="00214D83" w:rsidP="00214D83">
      <w:pPr>
        <w:pStyle w:val="Normlnweb"/>
        <w:shd w:val="clear" w:color="auto" w:fill="FFFFFF"/>
        <w:spacing w:before="0" w:beforeAutospacing="0" w:after="240" w:afterAutospacing="0"/>
        <w:jc w:val="center"/>
      </w:pPr>
    </w:p>
    <w:p w14:paraId="37BF83E9" w14:textId="07DF5BF0" w:rsidR="00214D83" w:rsidRPr="006957A3" w:rsidRDefault="00214D83" w:rsidP="00214D83">
      <w:pPr>
        <w:pStyle w:val="Normlnweb"/>
        <w:shd w:val="clear" w:color="auto" w:fill="FFFFFF"/>
        <w:spacing w:before="0" w:beforeAutospacing="0" w:after="240" w:afterAutospacing="0"/>
        <w:jc w:val="center"/>
      </w:pPr>
      <w:r w:rsidRPr="006957A3">
        <w:t>  </w:t>
      </w:r>
      <w:r>
        <w:drawing>
          <wp:inline distT="0" distB="0" distL="0" distR="0" wp14:anchorId="1ED6CC3F" wp14:editId="3166605C">
            <wp:extent cx="3903345" cy="21971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3345" cy="2197100"/>
                    </a:xfrm>
                    <a:prstGeom prst="rect">
                      <a:avLst/>
                    </a:prstGeom>
                    <a:noFill/>
                    <a:ln>
                      <a:noFill/>
                    </a:ln>
                  </pic:spPr>
                </pic:pic>
              </a:graphicData>
            </a:graphic>
          </wp:inline>
        </w:drawing>
      </w:r>
    </w:p>
    <w:p w14:paraId="49345BC8" w14:textId="77777777" w:rsidR="00214D83" w:rsidRPr="006957A3" w:rsidRDefault="00214D83" w:rsidP="00214D83">
      <w:pPr>
        <w:pStyle w:val="Normlnweb"/>
        <w:shd w:val="clear" w:color="auto" w:fill="FFFFFF"/>
        <w:spacing w:before="0" w:beforeAutospacing="0" w:after="240" w:afterAutospacing="0"/>
        <w:jc w:val="center"/>
      </w:pPr>
      <w:r w:rsidRPr="006957A3">
        <w:t> </w:t>
      </w:r>
    </w:p>
    <w:p w14:paraId="78B1F533" w14:textId="77777777" w:rsidR="00214D83" w:rsidRDefault="00214D83" w:rsidP="00214D83">
      <w:pPr>
        <w:pStyle w:val="Normlnweb"/>
        <w:shd w:val="clear" w:color="auto" w:fill="FFFFFF"/>
        <w:spacing w:before="0" w:beforeAutospacing="0" w:after="0" w:afterAutospacing="0"/>
        <w:jc w:val="center"/>
        <w:rPr>
          <w:rStyle w:val="Siln"/>
          <w:sz w:val="48"/>
          <w:szCs w:val="48"/>
        </w:rPr>
      </w:pPr>
    </w:p>
    <w:p w14:paraId="5E1894CB" w14:textId="77777777" w:rsidR="00214D83" w:rsidRPr="004E5BBA" w:rsidRDefault="00214D83" w:rsidP="00214D83">
      <w:pPr>
        <w:pStyle w:val="Normlnweb"/>
        <w:shd w:val="clear" w:color="auto" w:fill="FFFFFF"/>
        <w:spacing w:before="0" w:beforeAutospacing="0" w:after="0" w:afterAutospacing="0"/>
        <w:jc w:val="center"/>
        <w:rPr>
          <w:rStyle w:val="Siln"/>
          <w:sz w:val="48"/>
          <w:szCs w:val="48"/>
          <w:u w:val="single"/>
        </w:rPr>
      </w:pPr>
      <w:r w:rsidRPr="004E5BBA">
        <w:rPr>
          <w:rStyle w:val="Siln"/>
          <w:sz w:val="48"/>
          <w:szCs w:val="48"/>
          <w:u w:val="single"/>
        </w:rPr>
        <w:t>Hana Josífková</w:t>
      </w:r>
    </w:p>
    <w:p w14:paraId="701125E8" w14:textId="77777777" w:rsidR="00214D83" w:rsidRDefault="00214D83" w:rsidP="00214D83">
      <w:pPr>
        <w:pStyle w:val="Normlnweb"/>
        <w:shd w:val="clear" w:color="auto" w:fill="FFFFFF"/>
        <w:spacing w:before="0" w:beforeAutospacing="0" w:after="0" w:afterAutospacing="0"/>
        <w:jc w:val="center"/>
        <w:rPr>
          <w:rStyle w:val="Siln"/>
          <w:sz w:val="48"/>
          <w:szCs w:val="48"/>
        </w:rPr>
      </w:pPr>
      <w:r w:rsidRPr="004E5BBA">
        <w:rPr>
          <w:rStyle w:val="Siln"/>
          <w:sz w:val="48"/>
          <w:szCs w:val="48"/>
        </w:rPr>
        <w:t xml:space="preserve"> </w:t>
      </w:r>
    </w:p>
    <w:p w14:paraId="5CE82047" w14:textId="77777777" w:rsidR="00214D83" w:rsidRDefault="00214D83" w:rsidP="00214D83">
      <w:pPr>
        <w:pStyle w:val="Normlnweb"/>
        <w:shd w:val="clear" w:color="auto" w:fill="FFFFFF"/>
        <w:spacing w:before="0" w:beforeAutospacing="0" w:after="0" w:afterAutospacing="0"/>
        <w:jc w:val="center"/>
        <w:rPr>
          <w:rStyle w:val="Siln"/>
          <w:b w:val="0"/>
          <w:sz w:val="48"/>
          <w:szCs w:val="48"/>
        </w:rPr>
      </w:pPr>
      <w:r w:rsidRPr="004E5BBA">
        <w:rPr>
          <w:rStyle w:val="Siln"/>
          <w:sz w:val="48"/>
          <w:szCs w:val="48"/>
        </w:rPr>
        <w:t>Milada Teplá</w:t>
      </w:r>
    </w:p>
    <w:p w14:paraId="502B2C51" w14:textId="77777777" w:rsidR="00214D83" w:rsidRDefault="00214D83" w:rsidP="00214D83">
      <w:pPr>
        <w:pStyle w:val="Normlnweb"/>
        <w:shd w:val="clear" w:color="auto" w:fill="FFFFFF"/>
        <w:spacing w:before="0" w:beforeAutospacing="0" w:after="0" w:afterAutospacing="0"/>
        <w:jc w:val="center"/>
        <w:rPr>
          <w:rStyle w:val="Siln"/>
          <w:b w:val="0"/>
          <w:sz w:val="48"/>
          <w:szCs w:val="48"/>
        </w:rPr>
      </w:pPr>
    </w:p>
    <w:p w14:paraId="2350082D" w14:textId="77777777" w:rsidR="00214D83" w:rsidRPr="00C74BBF" w:rsidRDefault="00214D83" w:rsidP="00214D83">
      <w:pPr>
        <w:jc w:val="center"/>
        <w:rPr>
          <w:sz w:val="32"/>
          <w:szCs w:val="32"/>
        </w:rPr>
      </w:pPr>
      <w:r w:rsidRPr="00C74BBF">
        <w:rPr>
          <w:sz w:val="32"/>
          <w:szCs w:val="32"/>
        </w:rPr>
        <w:t xml:space="preserve">KUDCH, Přírodovědecká fakulta Univerzity Karlovy, </w:t>
      </w:r>
    </w:p>
    <w:p w14:paraId="50567DA3" w14:textId="77777777" w:rsidR="00214D83" w:rsidRPr="00C74BBF" w:rsidRDefault="00214D83" w:rsidP="00214D83">
      <w:pPr>
        <w:jc w:val="center"/>
        <w:rPr>
          <w:sz w:val="32"/>
          <w:szCs w:val="32"/>
        </w:rPr>
      </w:pPr>
      <w:r>
        <w:rPr>
          <w:sz w:val="32"/>
          <w:szCs w:val="32"/>
        </w:rPr>
        <w:t>Praha 2020</w:t>
      </w:r>
    </w:p>
    <w:p w14:paraId="211EC782" w14:textId="77777777" w:rsidR="00214D83" w:rsidRDefault="00214D83" w:rsidP="00214D83">
      <w:pPr>
        <w:pStyle w:val="Normlnweb"/>
        <w:shd w:val="clear" w:color="auto" w:fill="FFFFFF"/>
        <w:spacing w:before="0" w:beforeAutospacing="0" w:after="0" w:afterAutospacing="0"/>
        <w:jc w:val="center"/>
      </w:pPr>
      <w:r w:rsidRPr="006957A3">
        <w:t> </w:t>
      </w:r>
    </w:p>
    <w:p w14:paraId="34D89248" w14:textId="77777777" w:rsidR="00214D83" w:rsidRPr="006957A3" w:rsidRDefault="00214D83" w:rsidP="00214D83">
      <w:pPr>
        <w:pStyle w:val="Normlnweb"/>
        <w:shd w:val="clear" w:color="auto" w:fill="FFFFFF"/>
        <w:spacing w:before="0" w:beforeAutospacing="0" w:after="240" w:afterAutospacing="0"/>
        <w:jc w:val="center"/>
      </w:pPr>
    </w:p>
    <w:p w14:paraId="08EB3652" w14:textId="77777777" w:rsidR="00CE79DD" w:rsidRDefault="00CE79DD" w:rsidP="00CE79DD">
      <w:pPr>
        <w:pStyle w:val="Nadpis1"/>
        <w:numPr>
          <w:ilvl w:val="0"/>
          <w:numId w:val="8"/>
        </w:numPr>
      </w:pPr>
      <w:bookmarkStart w:id="1" w:name="_GoBack"/>
      <w:bookmarkEnd w:id="1"/>
      <w:r>
        <w:lastRenderedPageBreak/>
        <w:t>PowerPointová prezentace</w:t>
      </w:r>
      <w:bookmarkEnd w:id="0"/>
    </w:p>
    <w:p w14:paraId="428FA156" w14:textId="77777777" w:rsidR="00CE79DD" w:rsidRDefault="00CE79DD" w:rsidP="00CE79DD">
      <w:r>
        <w:tab/>
        <w:t>Prezentace byla vytvořena v programu Microsoft PowerPoint (2016) a obsahuje 10 snímků + 1 snímek s použitými zdroji. Při vytváření prezentace byly použity obrázky stažené z internetu, které je možné použít, sdílet či upravovat (vyhledáno pomocí filtru). Zároveň prezentace obsahuje chemické vzorce a struktury vytvořené v programu ChemSketch. Níže jsou uvedeny konkrétní snímky s didaktickými poznámkami. Prezentace neobsahuje příliš mnoho teoretických informací, předpokládá se, že bude sloužit pouze jako podklad k výkladu učitele. K aktivizaci žáků je vhodné zařadit do výuky tyčinkové modely. Tímto stylem výuky žák propojí hned tři smysly – sluch, zrak, hmat. Výuka bude pro žáky více atraktivní a zapamatování učiva by pak mělo být efektivnější než při pouhé prezentaci učiva, při které jsou žáci pasivními pozorovateli.</w:t>
      </w:r>
    </w:p>
    <w:p w14:paraId="1B2D26E7" w14:textId="77777777" w:rsidR="00CE79DD" w:rsidRDefault="00CE79DD" w:rsidP="00CE79DD">
      <w:pPr>
        <w:rPr>
          <w:b/>
        </w:rPr>
      </w:pPr>
      <w:r>
        <w:rPr>
          <w:b/>
        </w:rPr>
        <w:t>Snímek č. 1</w:t>
      </w:r>
    </w:p>
    <w:p w14:paraId="2E3A2A69" w14:textId="77777777" w:rsidR="00CE79DD" w:rsidRDefault="00CE79DD" w:rsidP="00CE79DD">
      <w:r>
        <w:t>Jedná se o úvodní snímek, kdy učitel uvede téma hodiny. Termín sacharidy může být pro některé žáky cizím slovem, titulní obrázek by tedy měl navodit určitou představu o tom, jakých látek se toto učivo týká. Učitel by měl vysvětlit rozdíl mezi pojmy sacharid a cukr. Je vhodné propojit výuku s každodenním životem (cukr krystal, cukr moučka, ovocný cukr, hroznový cukr apod.) – tedy s žáky na téma „cukr“ či „sacharid“ diskutovat.</w:t>
      </w:r>
    </w:p>
    <w:p w14:paraId="0879C45B" w14:textId="21727570" w:rsidR="00CE79DD" w:rsidRDefault="00CE79DD" w:rsidP="00CE79DD">
      <w:pPr>
        <w:pStyle w:val="obrazek"/>
      </w:pPr>
      <w:r>
        <w:drawing>
          <wp:inline distT="0" distB="0" distL="0" distR="0" wp14:anchorId="0A453FB8" wp14:editId="688DC2AE">
            <wp:extent cx="3903345" cy="219710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3345" cy="2197100"/>
                    </a:xfrm>
                    <a:prstGeom prst="rect">
                      <a:avLst/>
                    </a:prstGeom>
                    <a:noFill/>
                    <a:ln>
                      <a:noFill/>
                    </a:ln>
                  </pic:spPr>
                </pic:pic>
              </a:graphicData>
            </a:graphic>
          </wp:inline>
        </w:drawing>
      </w:r>
    </w:p>
    <w:p w14:paraId="426E921A" w14:textId="77777777" w:rsidR="00CE79DD" w:rsidRDefault="00CE79DD" w:rsidP="00CE79DD">
      <w:pPr>
        <w:pStyle w:val="textpodobr"/>
      </w:pPr>
      <w:r>
        <w:t>Obrázek č. 25 – Snímek č. 1</w:t>
      </w:r>
    </w:p>
    <w:p w14:paraId="26E7CE62" w14:textId="77777777" w:rsidR="00CE79DD" w:rsidRDefault="00CE79DD" w:rsidP="00CE79DD">
      <w:pPr>
        <w:rPr>
          <w:b/>
        </w:rPr>
      </w:pPr>
      <w:r>
        <w:rPr>
          <w:b/>
        </w:rPr>
        <w:t>Snímek č. 2</w:t>
      </w:r>
    </w:p>
    <w:p w14:paraId="25E53E66" w14:textId="77777777" w:rsidR="00CE79DD" w:rsidRDefault="00CE79DD" w:rsidP="00CE79DD">
      <w:r>
        <w:t xml:space="preserve">Do snímku č. 2 bylo vloženo video s názvem </w:t>
      </w:r>
      <w:r>
        <w:rPr>
          <w:i/>
        </w:rPr>
        <w:t>Dehydratace cukru kyselinou sírovou</w:t>
      </w:r>
      <w:r>
        <w:t xml:space="preserve"> (22), které je volně dostupné na internetu (zdroj </w:t>
      </w:r>
      <w:hyperlink r:id="rId9" w:history="1">
        <w:r>
          <w:rPr>
            <w:rStyle w:val="Hypertextovodkaz"/>
          </w:rPr>
          <w:t>www.youtube.com</w:t>
        </w:r>
      </w:hyperlink>
      <w:r>
        <w:t xml:space="preserve">). Video slouží </w:t>
      </w:r>
      <w:r>
        <w:lastRenderedPageBreak/>
        <w:t>k uvědomění žáků, z kterých prvků se sacharidy skládají, zároveň to může být prvek zpestřující výuku a na úvod vyučovací hodiny i prvek motivační.</w:t>
      </w:r>
    </w:p>
    <w:p w14:paraId="66979CC1" w14:textId="20E18F54" w:rsidR="00CE79DD" w:rsidRDefault="00CE79DD" w:rsidP="00CE79DD">
      <w:pPr>
        <w:pStyle w:val="obrazek"/>
      </w:pPr>
      <w:r>
        <w:drawing>
          <wp:inline distT="0" distB="0" distL="0" distR="0" wp14:anchorId="1DAA268D" wp14:editId="36E240ED">
            <wp:extent cx="4094480" cy="2306320"/>
            <wp:effectExtent l="19050" t="19050" r="127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4480" cy="2306320"/>
                    </a:xfrm>
                    <a:prstGeom prst="rect">
                      <a:avLst/>
                    </a:prstGeom>
                    <a:noFill/>
                    <a:ln w="9525" cmpd="sng">
                      <a:solidFill>
                        <a:srgbClr val="000000"/>
                      </a:solidFill>
                      <a:miter lim="800000"/>
                      <a:headEnd/>
                      <a:tailEnd/>
                    </a:ln>
                    <a:effectLst/>
                  </pic:spPr>
                </pic:pic>
              </a:graphicData>
            </a:graphic>
          </wp:inline>
        </w:drawing>
      </w:r>
    </w:p>
    <w:p w14:paraId="61657FD0" w14:textId="77777777" w:rsidR="00CE79DD" w:rsidRDefault="00CE79DD" w:rsidP="00CE79DD">
      <w:pPr>
        <w:pStyle w:val="textpodobr"/>
      </w:pPr>
      <w:r>
        <w:t>Obrázek č. 26 – Snímek č. 2</w:t>
      </w:r>
    </w:p>
    <w:p w14:paraId="0DE53764" w14:textId="77777777" w:rsidR="00CE79DD" w:rsidRDefault="00CE79DD" w:rsidP="00CE79DD">
      <w:r>
        <w:rPr>
          <w:i/>
        </w:rPr>
        <w:t>Didaktické poznámky</w:t>
      </w:r>
      <w:r>
        <w:t xml:space="preserve">: Video začíná tím, že se do kádinky s cukrem (sacharosa) nalije koncentrovaná kyselina sírová. Následně můžeme pozorovat barevné změny, kdy cukr nejprve hnědne (karamelizuje) a poté zčerná (uhelnatí). Princip pokusu spočívá v tom, že koncentrovaná kyselina sírová má silné dehydratační účinky a organickým látkám je schopna odnímat molekuly vodíku a kyslíku v poměru 2:1 (tedy vodu). Uhlík, který tvoří kostru organických látek, se vyloučí, a proto sacharosa zčerná. Učitel žákům nejprve řekne, jaké dvě výchozí látky do reakce vstupují, a po přehrání videa může být vedena diskuze o tom, jak a proč pokus probíhal. Nějaké vědomosti mají žáci již z anorganické chemie, proto učitel může klást takové otázky, kterými je dovede ke správné odpovědi. </w:t>
      </w:r>
    </w:p>
    <w:p w14:paraId="2D8AAF3A" w14:textId="77777777" w:rsidR="00CE79DD" w:rsidRDefault="00CE79DD" w:rsidP="00CE79DD">
      <w:pPr>
        <w:rPr>
          <w:b/>
        </w:rPr>
      </w:pPr>
      <w:r>
        <w:rPr>
          <w:b/>
        </w:rPr>
        <w:t>Snímek č. 3</w:t>
      </w:r>
    </w:p>
    <w:p w14:paraId="3C710AE1" w14:textId="77777777" w:rsidR="00CE79DD" w:rsidRDefault="00CE79DD" w:rsidP="00CE79DD">
      <w:r>
        <w:t>Jedná se o snímek, který je věnovaný rozdělení sacharidů, dále je obsah prezentace směřován pouze na skupinu monosacharidy.</w:t>
      </w:r>
    </w:p>
    <w:p w14:paraId="57BB262A" w14:textId="0E78A685" w:rsidR="00CE79DD" w:rsidRDefault="00CE79DD" w:rsidP="00CE79DD">
      <w:pPr>
        <w:pStyle w:val="obrazek"/>
      </w:pPr>
      <w:r>
        <w:lastRenderedPageBreak/>
        <w:drawing>
          <wp:inline distT="0" distB="0" distL="0" distR="0" wp14:anchorId="2395A53F" wp14:editId="0683EF1C">
            <wp:extent cx="4094480" cy="230632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4480" cy="2306320"/>
                    </a:xfrm>
                    <a:prstGeom prst="rect">
                      <a:avLst/>
                    </a:prstGeom>
                    <a:noFill/>
                    <a:ln>
                      <a:noFill/>
                    </a:ln>
                  </pic:spPr>
                </pic:pic>
              </a:graphicData>
            </a:graphic>
          </wp:inline>
        </w:drawing>
      </w:r>
    </w:p>
    <w:p w14:paraId="41B3FD96" w14:textId="77777777" w:rsidR="00CE79DD" w:rsidRDefault="00CE79DD" w:rsidP="00CE79DD">
      <w:pPr>
        <w:pStyle w:val="textpodobr"/>
      </w:pPr>
      <w:r>
        <w:t>Obrázek č. 27 – Snímek č. 3</w:t>
      </w:r>
    </w:p>
    <w:p w14:paraId="311445A6" w14:textId="77777777" w:rsidR="00CE79DD" w:rsidRDefault="00CE79DD" w:rsidP="00CE79DD">
      <w:r>
        <w:rPr>
          <w:i/>
        </w:rPr>
        <w:t>Didaktické poznámky</w:t>
      </w:r>
      <w:r>
        <w:t xml:space="preserve">: Učitel žáky seznámí s rozdělením sacharidů na jednotlivé skupiny. Vysvětlení struktury týkající se počtu monosacharidových jednotek lze ilustrovat na vloženém obrázku. Ve výčtu je použit termín </w:t>
      </w:r>
      <w:r>
        <w:rPr>
          <w:i/>
        </w:rPr>
        <w:t>oligosacharidy</w:t>
      </w:r>
      <w:r>
        <w:t xml:space="preserve">, ale na obrázku jsou znázorněny </w:t>
      </w:r>
      <w:r>
        <w:rPr>
          <w:i/>
        </w:rPr>
        <w:t>disacharidy</w:t>
      </w:r>
      <w:r>
        <w:t xml:space="preserve">. Učitel tedy vysvětlí rozdíl mezi těmito pojmy – oligosacharidy je společný název pro skupinu sacharidů skládajících se ze 2-10 monosacharidových jednotek, termín disacharidy se používá pro takovou skupinu sacharidů, která zahrnuje látky skládající se právě ze 2 monosacharidových jednotek. </w:t>
      </w:r>
    </w:p>
    <w:p w14:paraId="71C0C931" w14:textId="77777777" w:rsidR="00CE79DD" w:rsidRDefault="00CE79DD" w:rsidP="00CE79DD">
      <w:pPr>
        <w:rPr>
          <w:b/>
        </w:rPr>
      </w:pPr>
      <w:r>
        <w:rPr>
          <w:b/>
        </w:rPr>
        <w:t>Snímek č. 4</w:t>
      </w:r>
    </w:p>
    <w:p w14:paraId="0BF35F7B" w14:textId="4179BD5E" w:rsidR="00CE79DD" w:rsidRDefault="00CE79DD" w:rsidP="00CE79DD">
      <w:pPr>
        <w:pStyle w:val="obrazek"/>
      </w:pPr>
      <w:r>
        <w:drawing>
          <wp:inline distT="0" distB="0" distL="0" distR="0" wp14:anchorId="3EF13A4D" wp14:editId="2E0CF0AC">
            <wp:extent cx="4094480" cy="2306320"/>
            <wp:effectExtent l="19050" t="19050" r="127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4480" cy="2306320"/>
                    </a:xfrm>
                    <a:prstGeom prst="rect">
                      <a:avLst/>
                    </a:prstGeom>
                    <a:noFill/>
                    <a:ln w="9525" cmpd="sng">
                      <a:solidFill>
                        <a:srgbClr val="000000"/>
                      </a:solidFill>
                      <a:miter lim="800000"/>
                      <a:headEnd/>
                      <a:tailEnd/>
                    </a:ln>
                    <a:effectLst/>
                  </pic:spPr>
                </pic:pic>
              </a:graphicData>
            </a:graphic>
          </wp:inline>
        </w:drawing>
      </w:r>
    </w:p>
    <w:p w14:paraId="12A29CC5" w14:textId="77777777" w:rsidR="00CE79DD" w:rsidRDefault="00CE79DD" w:rsidP="00CE79DD">
      <w:pPr>
        <w:pStyle w:val="textpodobr"/>
      </w:pPr>
      <w:r>
        <w:t>Obrázek č. 28 – Snímek č. 4</w:t>
      </w:r>
    </w:p>
    <w:p w14:paraId="0364F60E" w14:textId="77777777" w:rsidR="00CE79DD" w:rsidRDefault="00CE79DD" w:rsidP="00CE79DD">
      <w:r>
        <w:rPr>
          <w:i/>
        </w:rPr>
        <w:t>Didaktické poznámky</w:t>
      </w:r>
      <w:r>
        <w:t xml:space="preserve">: Snímek č. 4 je zaměřen na strukturu monosacharidů. Učitel žákům sdělí, že základními prvky tvořící sacharidy jsou uhlík, kyslík a vodík. V rámci toho může vzpomenout na shlédnuté video, které tuto skutečnost potvrzuje. Dále jsou žáci </w:t>
      </w:r>
      <w:r>
        <w:lastRenderedPageBreak/>
        <w:t xml:space="preserve">seznámeni s rozdělením monosacharidů na acyklické a cyklické. Ve struktuře acyklických monosacharidů se objevuje karbonylová skupina, která může být aldehydová nebo ketonová (podle její polohy v řetězci molekuly). Na základě těchto informací mohou žáci k přiloženým obrázkům přiřadit odpovídající název karbonylové skupiny. </w:t>
      </w:r>
    </w:p>
    <w:p w14:paraId="53402B4F" w14:textId="77777777" w:rsidR="00CE79DD" w:rsidRDefault="00CE79DD" w:rsidP="00CE79DD">
      <w:pPr>
        <w:rPr>
          <w:b/>
        </w:rPr>
      </w:pPr>
      <w:r>
        <w:rPr>
          <w:b/>
        </w:rPr>
        <w:t>Snímek č. 5</w:t>
      </w:r>
    </w:p>
    <w:p w14:paraId="5FCA66B1" w14:textId="185F58E1" w:rsidR="00CE79DD" w:rsidRDefault="00CE79DD" w:rsidP="00CE79DD">
      <w:pPr>
        <w:pStyle w:val="obrazek"/>
      </w:pPr>
      <w:r>
        <w:drawing>
          <wp:inline distT="0" distB="0" distL="0" distR="0" wp14:anchorId="475682B3" wp14:editId="56D083DB">
            <wp:extent cx="4094480" cy="2306320"/>
            <wp:effectExtent l="19050" t="19050" r="127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4480" cy="2306320"/>
                    </a:xfrm>
                    <a:prstGeom prst="rect">
                      <a:avLst/>
                    </a:prstGeom>
                    <a:noFill/>
                    <a:ln w="9525" cmpd="sng">
                      <a:solidFill>
                        <a:srgbClr val="000000"/>
                      </a:solidFill>
                      <a:miter lim="800000"/>
                      <a:headEnd/>
                      <a:tailEnd/>
                    </a:ln>
                    <a:effectLst/>
                  </pic:spPr>
                </pic:pic>
              </a:graphicData>
            </a:graphic>
          </wp:inline>
        </w:drawing>
      </w:r>
    </w:p>
    <w:p w14:paraId="72D26AD7" w14:textId="77777777" w:rsidR="00CE79DD" w:rsidRDefault="00CE79DD" w:rsidP="00CE79DD">
      <w:pPr>
        <w:pStyle w:val="textpodobr"/>
      </w:pPr>
      <w:r>
        <w:t>Obrázek č. 29 – Snímek č. 5</w:t>
      </w:r>
    </w:p>
    <w:p w14:paraId="0D59B272" w14:textId="77777777" w:rsidR="00CE79DD" w:rsidRDefault="00CE79DD" w:rsidP="00CE79DD">
      <w:r>
        <w:rPr>
          <w:i/>
        </w:rPr>
        <w:t>Didaktické poznámky</w:t>
      </w:r>
      <w:r>
        <w:t xml:space="preserve">: Snímek č. 5 obsahuje 2 Fischerovy vzorce – aldohexosu (monosacharid složený z 6 uhlíků obsahující aldehydovou skupinu, konkrétně glukosa) a ketohexosu (monosacharid složený z 6 uhlíků obsahující ketonovou skupinu, konkrétně fruktosa). Učitel může připomenout rozdíl mezi těmito skupinami v jejich umístění v řetězci již na konkrétním příkladu. Dále žákům představí Fischerův vzorec, který se používá pro zobrazení acyklické struktury monosacharidů, a upozorní na to, že tento vzorec znázorňuje monosacharid jako planární, lineární molekulu, což neodpovídá skutečnému prostorovému uspořádání atomů v molekule monosacharidu. Žáci se podle dostupnosti pomůcek rozdělí do skupin, ve kterých si na základě předlohy uvedené v prezentaci (obrázek na snímku č. 5 vpravo) sestaví pomocí molekulové stavebnice tyčinkový model </w:t>
      </w:r>
      <w:r>
        <w:rPr>
          <w:smallCaps/>
        </w:rPr>
        <w:t>d</w:t>
      </w:r>
      <w:r>
        <w:t>-glukosy.</w:t>
      </w:r>
    </w:p>
    <w:p w14:paraId="451F681A" w14:textId="77777777" w:rsidR="00CE79DD" w:rsidRDefault="00CE79DD" w:rsidP="00CE79DD">
      <w:pPr>
        <w:keepNext/>
        <w:rPr>
          <w:b/>
        </w:rPr>
      </w:pPr>
      <w:r>
        <w:rPr>
          <w:b/>
        </w:rPr>
        <w:t>Snímek č. 6</w:t>
      </w:r>
    </w:p>
    <w:p w14:paraId="60E9791F" w14:textId="77777777" w:rsidR="00CE79DD" w:rsidRDefault="00CE79DD" w:rsidP="00CE79DD">
      <w:r>
        <w:t xml:space="preserve">Do snímku č. 6 je vložena Animace 1 jako </w:t>
      </w:r>
      <w:commentRangeStart w:id="2"/>
      <w:r>
        <w:t>hypertextový odkaz</w:t>
      </w:r>
      <w:commentRangeEnd w:id="2"/>
      <w:r>
        <w:rPr>
          <w:rStyle w:val="Odkaznakoment"/>
        </w:rPr>
        <w:commentReference w:id="2"/>
      </w:r>
      <w:r>
        <w:t xml:space="preserve"> na soubor animace1.swf. Animace se spustí po kliknutí na obrázek. Animaci lze ovládat pomocí modrých tlačítek (viz kapitola 4.1.1). </w:t>
      </w:r>
    </w:p>
    <w:p w14:paraId="77D885A2" w14:textId="11857912" w:rsidR="00CE79DD" w:rsidRDefault="00CE79DD" w:rsidP="00CE79DD">
      <w:pPr>
        <w:pStyle w:val="obrazek"/>
      </w:pPr>
      <w:r>
        <w:lastRenderedPageBreak/>
        <w:drawing>
          <wp:inline distT="0" distB="0" distL="0" distR="0" wp14:anchorId="5CE0E7FD" wp14:editId="5AD3FC5E">
            <wp:extent cx="4094480" cy="2211070"/>
            <wp:effectExtent l="19050" t="19050" r="127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16" cstate="print">
                      <a:extLst>
                        <a:ext uri="{28A0092B-C50C-407E-A947-70E740481C1C}">
                          <a14:useLocalDpi xmlns:a14="http://schemas.microsoft.com/office/drawing/2010/main" val="0"/>
                        </a:ext>
                      </a:extLst>
                    </a:blip>
                    <a:srcRect t="4147"/>
                    <a:stretch>
                      <a:fillRect/>
                    </a:stretch>
                  </pic:blipFill>
                  <pic:spPr bwMode="auto">
                    <a:xfrm>
                      <a:off x="0" y="0"/>
                      <a:ext cx="4094480" cy="2211070"/>
                    </a:xfrm>
                    <a:prstGeom prst="rect">
                      <a:avLst/>
                    </a:prstGeom>
                    <a:noFill/>
                    <a:ln w="9525" cmpd="sng">
                      <a:solidFill>
                        <a:srgbClr val="BFBFBF"/>
                      </a:solidFill>
                      <a:miter lim="800000"/>
                      <a:headEnd/>
                      <a:tailEnd/>
                    </a:ln>
                    <a:effectLst/>
                  </pic:spPr>
                </pic:pic>
              </a:graphicData>
            </a:graphic>
          </wp:inline>
        </w:drawing>
      </w:r>
    </w:p>
    <w:p w14:paraId="488B7CDB" w14:textId="77777777" w:rsidR="00CE79DD" w:rsidRDefault="00CE79DD" w:rsidP="00CE79DD">
      <w:pPr>
        <w:pStyle w:val="textpodobr"/>
      </w:pPr>
      <w:r>
        <w:t>Obrázek č. 30 – Snímek č. 6</w:t>
      </w:r>
    </w:p>
    <w:p w14:paraId="2A41B1B4" w14:textId="77777777" w:rsidR="00CE79DD" w:rsidRDefault="00CE79DD" w:rsidP="00CE79DD">
      <w:r>
        <w:rPr>
          <w:i/>
        </w:rPr>
        <w:t>Didaktické poznámky</w:t>
      </w:r>
      <w:r>
        <w:t xml:space="preserve">: Jestliže mají žáci ve skupinách modely sestavené, může se Animace 1 využít jako návod k natočení molekuly glukosy. Pomocí tlačítek učitel animaci ovládá, postupně ji zastavuje a znovu přehrává. </w:t>
      </w:r>
    </w:p>
    <w:p w14:paraId="354B1F8E" w14:textId="77777777" w:rsidR="00CE79DD" w:rsidRDefault="00CE79DD" w:rsidP="00CE79DD">
      <w:pPr>
        <w:keepNext/>
        <w:rPr>
          <w:b/>
        </w:rPr>
      </w:pPr>
      <w:r>
        <w:rPr>
          <w:b/>
        </w:rPr>
        <w:t>Snímek č. 7</w:t>
      </w:r>
    </w:p>
    <w:p w14:paraId="1E066A46" w14:textId="77777777" w:rsidR="00CE79DD" w:rsidRDefault="00CE79DD" w:rsidP="00CE79DD">
      <w:r>
        <w:t xml:space="preserve">Do snímku č. 7 je vložena Animace 2 jako hypertextový odkaz na soubor animace2.swf. Animace se spustí po kliknutí na obrázek. Animaci lze ovládat pomocí modrých tlačítek (viz kapitola 4.1.1). </w:t>
      </w:r>
    </w:p>
    <w:p w14:paraId="7727B12E" w14:textId="2DAE4AE2" w:rsidR="00CE79DD" w:rsidRDefault="00CE79DD" w:rsidP="00CE79DD">
      <w:pPr>
        <w:pStyle w:val="obrazek"/>
      </w:pPr>
      <w:r>
        <w:drawing>
          <wp:inline distT="0" distB="0" distL="0" distR="0" wp14:anchorId="3B30C262" wp14:editId="32778176">
            <wp:extent cx="4094480" cy="2197100"/>
            <wp:effectExtent l="19050" t="19050" r="127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17">
                      <a:extLst>
                        <a:ext uri="{28A0092B-C50C-407E-A947-70E740481C1C}">
                          <a14:useLocalDpi xmlns:a14="http://schemas.microsoft.com/office/drawing/2010/main" val="0"/>
                        </a:ext>
                      </a:extLst>
                    </a:blip>
                    <a:srcRect t="4739"/>
                    <a:stretch>
                      <a:fillRect/>
                    </a:stretch>
                  </pic:blipFill>
                  <pic:spPr bwMode="auto">
                    <a:xfrm>
                      <a:off x="0" y="0"/>
                      <a:ext cx="4094480" cy="2197100"/>
                    </a:xfrm>
                    <a:prstGeom prst="rect">
                      <a:avLst/>
                    </a:prstGeom>
                    <a:noFill/>
                    <a:ln w="9525" cmpd="sng">
                      <a:solidFill>
                        <a:srgbClr val="BFBFBF"/>
                      </a:solidFill>
                      <a:miter lim="800000"/>
                      <a:headEnd/>
                      <a:tailEnd/>
                    </a:ln>
                    <a:effectLst/>
                  </pic:spPr>
                </pic:pic>
              </a:graphicData>
            </a:graphic>
          </wp:inline>
        </w:drawing>
      </w:r>
    </w:p>
    <w:p w14:paraId="48C522ED" w14:textId="77777777" w:rsidR="00CE79DD" w:rsidRDefault="00CE79DD" w:rsidP="00CE79DD">
      <w:pPr>
        <w:pStyle w:val="textpodobr"/>
      </w:pPr>
      <w:r>
        <w:t>Obrázek č. 31 – Snímek č. 7</w:t>
      </w:r>
    </w:p>
    <w:p w14:paraId="4DD9C99F" w14:textId="77777777" w:rsidR="00CE79DD" w:rsidRDefault="00CE79DD" w:rsidP="00CE79DD">
      <w:r>
        <w:rPr>
          <w:i/>
        </w:rPr>
        <w:t>Didaktické poznámky</w:t>
      </w:r>
      <w:r>
        <w:t xml:space="preserve">: Pokud mají žáci molekuly natočené podle Animace 1, přesune se učitel na snímek 7, který obsahuje </w:t>
      </w:r>
      <w:commentRangeStart w:id="3"/>
      <w:r>
        <w:t>odkaz</w:t>
      </w:r>
      <w:commentRangeEnd w:id="3"/>
      <w:r>
        <w:rPr>
          <w:rStyle w:val="Odkaznakoment"/>
        </w:rPr>
        <w:commentReference w:id="3"/>
      </w:r>
      <w:r>
        <w:t xml:space="preserve"> na Animaci 2. Žáci si natočí sestavený model tak, aby na něj koukali ze stejného úhlu, který je naznačen šipkou mířící od symbolu oka. Učitel upozorní žáky, že při sestavování Fischerova vzorce je zapotřebí, aby uhlík </w:t>
      </w:r>
      <w:r>
        <w:lastRenderedPageBreak/>
        <w:t xml:space="preserve">s nejvyšším oxidačním číslem (uhlík č. 1 u aldos, uhlík č. 2 u ketos) byl nahoře. Učitel spustí animaci, ve které se postupně zvýrazňují jednotlivé uhlíky a molekula je přepisována do Fischerova vzorce. Učitel animaci po jednotlivých krocích zastaví, aby si žáci mohli správnost ověřit na sestavených modelech. Animace pokračuje určením konfigurace </w:t>
      </w:r>
      <w:r>
        <w:rPr>
          <w:smallCaps/>
        </w:rPr>
        <w:t>d/l</w:t>
      </w:r>
      <w:r>
        <w:t>. Učitel vysvětlí, proč jsou některé uhlíky chirální (všechny 4 vazby musí nést odlišný substituent) a následně se podle posledního chirálního uhlíku určí konfigurace monosacharidu. Pokud hydroxylová skupina na posledním stereogenním centru ve Fischerově projekci směřuje doprava, jedná se o </w:t>
      </w:r>
      <w:r>
        <w:rPr>
          <w:smallCaps/>
        </w:rPr>
        <w:t>d</w:t>
      </w:r>
      <w:r>
        <w:noBreakHyphen/>
        <w:t xml:space="preserve">monosacharid, pokud doleva, pak jde o </w:t>
      </w:r>
      <w:r>
        <w:rPr>
          <w:smallCaps/>
        </w:rPr>
        <w:t>l</w:t>
      </w:r>
      <w:r>
        <w:t xml:space="preserve">-monosacharid. </w:t>
      </w:r>
    </w:p>
    <w:p w14:paraId="3718A557" w14:textId="77777777" w:rsidR="00CE79DD" w:rsidRDefault="00CE79DD" w:rsidP="00CE79DD">
      <w:r>
        <w:t xml:space="preserve">Učitel může žáky seznámit s pojmy levotočivé a pravotočivé opticky aktivní látky a jejich značením v názvu molekul. Poté je vhodné upozornit na nesouvislost s konfigurací </w:t>
      </w:r>
      <w:r>
        <w:rPr>
          <w:smallCaps/>
        </w:rPr>
        <w:t>d/l</w:t>
      </w:r>
      <w:r>
        <w:t>.</w:t>
      </w:r>
    </w:p>
    <w:p w14:paraId="478BC682" w14:textId="77777777" w:rsidR="00CE79DD" w:rsidRDefault="00CE79DD" w:rsidP="00CE79DD">
      <w:pPr>
        <w:keepNext/>
        <w:rPr>
          <w:b/>
        </w:rPr>
      </w:pPr>
      <w:r>
        <w:rPr>
          <w:b/>
        </w:rPr>
        <w:t>Snímek č. 8</w:t>
      </w:r>
    </w:p>
    <w:p w14:paraId="584B4324" w14:textId="243DCB64" w:rsidR="00CE79DD" w:rsidRDefault="00CE79DD" w:rsidP="00CE79DD">
      <w:pPr>
        <w:pStyle w:val="obrazek"/>
      </w:pPr>
      <w:r>
        <w:drawing>
          <wp:inline distT="0" distB="0" distL="0" distR="0" wp14:anchorId="589DEB8A" wp14:editId="7160A8EF">
            <wp:extent cx="4094480" cy="2306320"/>
            <wp:effectExtent l="19050" t="19050" r="127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4480" cy="2306320"/>
                    </a:xfrm>
                    <a:prstGeom prst="rect">
                      <a:avLst/>
                    </a:prstGeom>
                    <a:noFill/>
                    <a:ln w="9525" cmpd="sng">
                      <a:solidFill>
                        <a:srgbClr val="000000"/>
                      </a:solidFill>
                      <a:miter lim="800000"/>
                      <a:headEnd/>
                      <a:tailEnd/>
                    </a:ln>
                    <a:effectLst/>
                  </pic:spPr>
                </pic:pic>
              </a:graphicData>
            </a:graphic>
          </wp:inline>
        </w:drawing>
      </w:r>
    </w:p>
    <w:p w14:paraId="5A5B94B8" w14:textId="77777777" w:rsidR="00CE79DD" w:rsidRDefault="00CE79DD" w:rsidP="00CE79DD">
      <w:pPr>
        <w:pStyle w:val="textpodobr"/>
      </w:pPr>
      <w:r>
        <w:t>Obrázek č. 32 – Snímek č. 8</w:t>
      </w:r>
    </w:p>
    <w:p w14:paraId="06652C1E" w14:textId="77777777" w:rsidR="00CE79DD" w:rsidRDefault="00CE79DD" w:rsidP="00CE79DD">
      <w:r>
        <w:rPr>
          <w:i/>
        </w:rPr>
        <w:t>Didaktické poznámky:</w:t>
      </w:r>
      <w:r>
        <w:t xml:space="preserve"> Snímek č. 8 představuje cyklické monosacharidy. Učitel žáky seznámí s dalšími typy vzorců, kterými lze monosacharidy zapsat, a vysvětlí rozdíly mezi nimi – Tollensův vzorec znázorňuje, jaké skupiny spolu interagují a kde tedy dochází k cyklizaci, řetězec je uzavřený, ale monosacharid je stále „lineární“; Haworthův vzorec zobrazuje reálnější podobu cyklického monosacharidu. </w:t>
      </w:r>
    </w:p>
    <w:p w14:paraId="725A2322" w14:textId="77777777" w:rsidR="00CE79DD" w:rsidRDefault="00CE79DD" w:rsidP="00CE79DD">
      <w:pPr>
        <w:keepNext/>
        <w:rPr>
          <w:b/>
        </w:rPr>
      </w:pPr>
      <w:r>
        <w:rPr>
          <w:b/>
        </w:rPr>
        <w:lastRenderedPageBreak/>
        <w:t>Snímek č. 9</w:t>
      </w:r>
    </w:p>
    <w:p w14:paraId="0702BDF3" w14:textId="4C5BFCBA" w:rsidR="00CE79DD" w:rsidRDefault="00CE79DD" w:rsidP="00CE79DD">
      <w:pPr>
        <w:pStyle w:val="obrazek"/>
      </w:pPr>
      <w:r>
        <w:drawing>
          <wp:inline distT="0" distB="0" distL="0" distR="0" wp14:anchorId="3D61E0FA" wp14:editId="61BDE08A">
            <wp:extent cx="4094480" cy="2306320"/>
            <wp:effectExtent l="19050" t="19050" r="127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4480" cy="2306320"/>
                    </a:xfrm>
                    <a:prstGeom prst="rect">
                      <a:avLst/>
                    </a:prstGeom>
                    <a:noFill/>
                    <a:ln w="9525" cmpd="sng">
                      <a:solidFill>
                        <a:srgbClr val="000000"/>
                      </a:solidFill>
                      <a:miter lim="800000"/>
                      <a:headEnd/>
                      <a:tailEnd/>
                    </a:ln>
                    <a:effectLst/>
                  </pic:spPr>
                </pic:pic>
              </a:graphicData>
            </a:graphic>
          </wp:inline>
        </w:drawing>
      </w:r>
    </w:p>
    <w:p w14:paraId="0F3DCAA7" w14:textId="77777777" w:rsidR="00CE79DD" w:rsidRDefault="00CE79DD" w:rsidP="00CE79DD">
      <w:pPr>
        <w:pStyle w:val="textpodobr"/>
      </w:pPr>
      <w:r>
        <w:t>Obrázek č. 33 – Snímek č. 9</w:t>
      </w:r>
    </w:p>
    <w:p w14:paraId="5094250F" w14:textId="77777777" w:rsidR="00CE79DD" w:rsidRDefault="00CE79DD" w:rsidP="00CE79DD">
      <w:r>
        <w:rPr>
          <w:i/>
        </w:rPr>
        <w:t>Didaktické poznámky</w:t>
      </w:r>
      <w:r>
        <w:t>: Na snímku č. 9 jsou vyobrazeny dvě formy cyklických monosacharidů – furanosa a pyranosa. Učitel žákům vysvětlí rozdíl mezi nimi. Pokud máme 5členný cyklus, který je složený ze 4 atomů uhlíku a 1 atomu kyslíku, pak se taková forma nazývá furanosa, jejíž název je odvozen od furanu. Jestliže je cyklus 6členný, tedy obsahuje 5 atomů uhlíku a 1 atom kyslíku, pak se jedná o pyranosu, jejíž název je odvozen od pyranu.</w:t>
      </w:r>
    </w:p>
    <w:p w14:paraId="5E5E99B9" w14:textId="77777777" w:rsidR="00CE79DD" w:rsidRDefault="00CE79DD" w:rsidP="00CE79DD">
      <w:pPr>
        <w:rPr>
          <w:b/>
        </w:rPr>
      </w:pPr>
      <w:r>
        <w:rPr>
          <w:b/>
        </w:rPr>
        <w:t>Snímek č. 10</w:t>
      </w:r>
    </w:p>
    <w:p w14:paraId="6E3C2FE9" w14:textId="77777777" w:rsidR="00CE79DD" w:rsidRDefault="00CE79DD" w:rsidP="00CE79DD">
      <w:pPr>
        <w:pStyle w:val="obrazek"/>
        <w:jc w:val="both"/>
      </w:pPr>
      <w:r>
        <w:t xml:space="preserve">Do snímku č. 10 je vložena Animace 3 jako hypertextový odkaz na soubor animace3.swf. Animace se spustí po kliknutí na obrázek. Animaci lze ovládat pomocí modrých tlačítek (viz kapitola 4.1.1). </w:t>
      </w:r>
    </w:p>
    <w:p w14:paraId="1606F874" w14:textId="6D1605E6" w:rsidR="00CE79DD" w:rsidRDefault="00CE79DD" w:rsidP="00CE79DD">
      <w:pPr>
        <w:pStyle w:val="obrazek"/>
      </w:pPr>
      <w:r>
        <w:drawing>
          <wp:inline distT="0" distB="0" distL="0" distR="0" wp14:anchorId="6F00BA79" wp14:editId="2B22B211">
            <wp:extent cx="4094480" cy="2306320"/>
            <wp:effectExtent l="19050" t="19050" r="127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4480" cy="2306320"/>
                    </a:xfrm>
                    <a:prstGeom prst="rect">
                      <a:avLst/>
                    </a:prstGeom>
                    <a:noFill/>
                    <a:ln w="9525" cmpd="sng">
                      <a:solidFill>
                        <a:srgbClr val="000000"/>
                      </a:solidFill>
                      <a:miter lim="800000"/>
                      <a:headEnd/>
                      <a:tailEnd/>
                    </a:ln>
                    <a:effectLst/>
                  </pic:spPr>
                </pic:pic>
              </a:graphicData>
            </a:graphic>
          </wp:inline>
        </w:drawing>
      </w:r>
    </w:p>
    <w:p w14:paraId="247648E4" w14:textId="77777777" w:rsidR="00CE79DD" w:rsidRDefault="00CE79DD" w:rsidP="00CE79DD">
      <w:pPr>
        <w:pStyle w:val="textpodobr"/>
      </w:pPr>
      <w:r>
        <w:t>Obrázek č. 34 – Snímek č. 10</w:t>
      </w:r>
    </w:p>
    <w:p w14:paraId="68D728FE" w14:textId="77777777" w:rsidR="00CE79DD" w:rsidRDefault="00CE79DD" w:rsidP="00CE79DD">
      <w:r>
        <w:rPr>
          <w:i/>
        </w:rPr>
        <w:lastRenderedPageBreak/>
        <w:t>Didaktické poznámky</w:t>
      </w:r>
      <w:r>
        <w:t xml:space="preserve">: Snímek č. 10 obsahuje poslední animaci, která znázorňuje cyklizaci glukosy a představuje dva anomery </w:t>
      </w:r>
      <w:r>
        <w:rPr>
          <w:rFonts w:ascii="Cambria Math" w:hAnsi="Cambria Math"/>
        </w:rPr>
        <w:t>α</w:t>
      </w:r>
      <w:r>
        <w:t>/</w:t>
      </w:r>
      <w:r>
        <w:rPr>
          <w:rFonts w:ascii="Cambria Math" w:hAnsi="Cambria Math"/>
        </w:rPr>
        <w:t>β</w:t>
      </w:r>
      <w:r>
        <w:t xml:space="preserve">. Žáci pořád pracují se sestaveným modelem – podle animace řetězec molekuly glukosy uzavřou a získají tak cyklickou podobu (učitel animaci zastavuje, aby žáci měli na práci čas a také prostor ke kontrole s animací). Na základě získaných informací mohou určit, zda se jedná o furanosu nebo pyranosu. Animace pokračuje zobrazením </w:t>
      </w:r>
      <w:r>
        <w:rPr>
          <w:smallCaps/>
        </w:rPr>
        <w:t>d</w:t>
      </w:r>
      <w:r>
        <w:t xml:space="preserve">-glukosy pomocí Haworthova vzorce a židličkové konformace. Žáci si pomocí modelů mohou ověřit, že Haworthův vzorec může chybně navodit dojem, že molekula je planární (vazby cyklu leží v jedné rovině) – židličková konformace toto mínění vylučuje. Dále animace zobrazuje anomery </w:t>
      </w:r>
      <w:r>
        <w:rPr>
          <w:rFonts w:ascii="Cambria Math" w:hAnsi="Cambria Math"/>
        </w:rPr>
        <w:t>α</w:t>
      </w:r>
      <w:r>
        <w:rPr>
          <w:rFonts w:cs="Times New Roman"/>
        </w:rPr>
        <w:noBreakHyphen/>
      </w:r>
      <w:r>
        <w:rPr>
          <w:smallCaps/>
        </w:rPr>
        <w:t>d</w:t>
      </w:r>
      <w:r>
        <w:noBreakHyphen/>
        <w:t xml:space="preserve">glukosu a </w:t>
      </w:r>
      <w:r>
        <w:rPr>
          <w:rFonts w:ascii="Cambria Math" w:hAnsi="Cambria Math"/>
        </w:rPr>
        <w:t>β</w:t>
      </w:r>
      <w:r>
        <w:rPr>
          <w:rFonts w:cs="Times New Roman"/>
        </w:rPr>
        <w:t>-</w:t>
      </w:r>
      <w:r>
        <w:rPr>
          <w:smallCaps/>
        </w:rPr>
        <w:t>d</w:t>
      </w:r>
      <w:r>
        <w:t>-glukosu. Žáci si podle animace sestaví na svých modelech oba anomery, aby tak pochopili rozdíl mezi nimi.</w:t>
      </w:r>
    </w:p>
    <w:p w14:paraId="214C9422" w14:textId="77777777" w:rsidR="00CE79DD" w:rsidRDefault="00CE79DD" w:rsidP="00CE79DD">
      <w:pPr>
        <w:rPr>
          <w:rFonts w:cs="Times New Roman"/>
          <w:b/>
        </w:rPr>
      </w:pPr>
      <w:r>
        <w:rPr>
          <w:rFonts w:cs="Times New Roman"/>
          <w:b/>
        </w:rPr>
        <w:t>Snímek č. 11</w:t>
      </w:r>
    </w:p>
    <w:p w14:paraId="11DB997F" w14:textId="77777777" w:rsidR="00CE79DD" w:rsidRDefault="00CE79DD" w:rsidP="00CE79DD">
      <w:pPr>
        <w:rPr>
          <w:rFonts w:cs="Times New Roman"/>
        </w:rPr>
      </w:pPr>
      <w:r>
        <w:rPr>
          <w:rFonts w:cs="Times New Roman"/>
        </w:rPr>
        <w:t>Snímek č. 11 obsahuje zdroje, ze kterých byly čerpány použité obrázky (23, 24).</w:t>
      </w:r>
    </w:p>
    <w:p w14:paraId="309C5901" w14:textId="182515EC" w:rsidR="00CE79DD" w:rsidRDefault="00CE79DD" w:rsidP="00CE79DD">
      <w:pPr>
        <w:pStyle w:val="obrazek"/>
      </w:pPr>
      <w:r>
        <w:drawing>
          <wp:inline distT="0" distB="0" distL="0" distR="0" wp14:anchorId="09FEA421" wp14:editId="257F1A6A">
            <wp:extent cx="4094480" cy="1242060"/>
            <wp:effectExtent l="19050" t="19050" r="127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21" cstate="print">
                      <a:extLst>
                        <a:ext uri="{28A0092B-C50C-407E-A947-70E740481C1C}">
                          <a14:useLocalDpi xmlns:a14="http://schemas.microsoft.com/office/drawing/2010/main" val="0"/>
                        </a:ext>
                      </a:extLst>
                    </a:blip>
                    <a:srcRect t="13036" b="33060"/>
                    <a:stretch>
                      <a:fillRect/>
                    </a:stretch>
                  </pic:blipFill>
                  <pic:spPr bwMode="auto">
                    <a:xfrm>
                      <a:off x="0" y="0"/>
                      <a:ext cx="4094480" cy="1242060"/>
                    </a:xfrm>
                    <a:prstGeom prst="rect">
                      <a:avLst/>
                    </a:prstGeom>
                    <a:noFill/>
                    <a:ln w="9525" cmpd="sng">
                      <a:solidFill>
                        <a:srgbClr val="D0CECE"/>
                      </a:solidFill>
                      <a:miter lim="800000"/>
                      <a:headEnd/>
                      <a:tailEnd/>
                    </a:ln>
                    <a:effectLst/>
                  </pic:spPr>
                </pic:pic>
              </a:graphicData>
            </a:graphic>
          </wp:inline>
        </w:drawing>
      </w:r>
    </w:p>
    <w:p w14:paraId="790F5A38" w14:textId="77777777" w:rsidR="00CE79DD" w:rsidRDefault="00CE79DD" w:rsidP="00CE79DD">
      <w:pPr>
        <w:pStyle w:val="textpodobr"/>
      </w:pPr>
      <w:r>
        <w:t>Obrázek č. 35 – Snímek č. 11</w:t>
      </w:r>
    </w:p>
    <w:p w14:paraId="5D0514E5" w14:textId="77777777" w:rsidR="00CE79DD" w:rsidRDefault="00CE79DD" w:rsidP="00CE79DD">
      <w:pPr>
        <w:rPr>
          <w:rFonts w:cs="Times New Roman"/>
          <w:b/>
        </w:rPr>
      </w:pPr>
      <w:r>
        <w:rPr>
          <w:b/>
        </w:rPr>
        <w:t>Použitá literatura:</w:t>
      </w:r>
    </w:p>
    <w:p w14:paraId="26FF8D74" w14:textId="77777777" w:rsidR="00CE79DD" w:rsidRDefault="00CE79DD" w:rsidP="00CE79DD">
      <w:pPr>
        <w:pStyle w:val="Odstavecseseznamem"/>
        <w:numPr>
          <w:ilvl w:val="0"/>
          <w:numId w:val="9"/>
        </w:numPr>
      </w:pPr>
      <w:r>
        <w:t>MCMURRY, John. </w:t>
      </w:r>
      <w:r>
        <w:rPr>
          <w:i/>
          <w:iCs/>
        </w:rPr>
        <w:t>Organická chemie</w:t>
      </w:r>
      <w:r>
        <w:t>. V Brně: VUTIUM, 2007. Překlady vysokoškolských učebnic. ISBN 978-80-214-3291-8.</w:t>
      </w:r>
    </w:p>
    <w:p w14:paraId="34E26313" w14:textId="77777777" w:rsidR="00CE79DD" w:rsidRDefault="00CE79DD" w:rsidP="00CE79DD">
      <w:pPr>
        <w:pStyle w:val="Odstavecseseznamem"/>
        <w:numPr>
          <w:ilvl w:val="0"/>
          <w:numId w:val="9"/>
        </w:numPr>
      </w:pPr>
      <w:r>
        <w:t>Dehydratace cukru kyselinou sírovou. </w:t>
      </w:r>
      <w:r>
        <w:rPr>
          <w:i/>
          <w:iCs/>
        </w:rPr>
        <w:t>YouTube</w:t>
      </w:r>
      <w:r>
        <w:t xml:space="preserve"> [online]. c2018 [cit. 2018-04-20]. Dostupné z: </w:t>
      </w:r>
      <w:hyperlink r:id="rId22" w:history="1">
        <w:r>
          <w:rPr>
            <w:rStyle w:val="Hypertextovodkaz"/>
          </w:rPr>
          <w:t>https://www.youtube.com/watch?v=rOowgw9N2YQ</w:t>
        </w:r>
      </w:hyperlink>
    </w:p>
    <w:p w14:paraId="6BFF91C3" w14:textId="77777777" w:rsidR="00CE79DD" w:rsidRDefault="00CE79DD" w:rsidP="00CE79DD">
      <w:pPr>
        <w:pStyle w:val="Odstavecseseznamem"/>
        <w:numPr>
          <w:ilvl w:val="0"/>
          <w:numId w:val="9"/>
        </w:numPr>
      </w:pPr>
      <w:r>
        <w:t>Cukr Krystalový: Kostka Cukru - Fotografie zdarma na Pixabay. In: </w:t>
      </w:r>
      <w:r>
        <w:rPr>
          <w:i/>
          <w:iCs/>
        </w:rPr>
        <w:t>Pixabay: Úžasné obrázky zdarma</w:t>
      </w:r>
      <w:r>
        <w:t xml:space="preserve"> [online]. c2018, 16. 7. 2017 [cit. 2018-04-22]. Dostupné z: </w:t>
      </w:r>
      <w:hyperlink r:id="rId23" w:history="1">
        <w:r>
          <w:rPr>
            <w:rStyle w:val="Hypertextovodkaz"/>
          </w:rPr>
          <w:t>https://pixabay.com/cs/cukr-krystalov%C3%BD-cukr-kostka-cukru-2510536/</w:t>
        </w:r>
      </w:hyperlink>
    </w:p>
    <w:p w14:paraId="4687D914" w14:textId="77777777" w:rsidR="00CE79DD" w:rsidRDefault="00CE79DD" w:rsidP="00CE79DD">
      <w:pPr>
        <w:pStyle w:val="Odstavecseseznamem"/>
        <w:numPr>
          <w:ilvl w:val="0"/>
          <w:numId w:val="9"/>
        </w:numPr>
        <w:spacing w:line="256" w:lineRule="auto"/>
        <w:jc w:val="left"/>
      </w:pPr>
      <w:r>
        <w:t>TAYLOR BALTIMORE, Angela. File:Saccharide-illustration.gif. In: </w:t>
      </w:r>
      <w:r>
        <w:rPr>
          <w:i/>
          <w:iCs/>
        </w:rPr>
        <w:t>Wikimedia Commons</w:t>
      </w:r>
      <w:r>
        <w:t xml:space="preserve"> [online]. 2018, 1. 8. 2014 [cit. 2018-04-22]. Dostupné z: </w:t>
      </w:r>
      <w:hyperlink r:id="rId24" w:history="1">
        <w:r>
          <w:rPr>
            <w:rStyle w:val="Hypertextovodkaz"/>
          </w:rPr>
          <w:t>https://commons.wikimedia.org/wiki/File:Saccharide-illustration.gif</w:t>
        </w:r>
      </w:hyperlink>
    </w:p>
    <w:p w14:paraId="3D39B5F3" w14:textId="2E97A297" w:rsidR="00E8282D" w:rsidRPr="00CE79DD" w:rsidRDefault="00E8282D" w:rsidP="00CE79DD"/>
    <w:sectPr w:rsidR="00E8282D" w:rsidRPr="00CE79DD" w:rsidSect="00815A6F">
      <w:footerReference w:type="default" r:id="rId25"/>
      <w:pgSz w:w="11906" w:h="16838"/>
      <w:pgMar w:top="1417" w:right="1416" w:bottom="1560" w:left="1985"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Hanča" w:date="2018-04-22T08:44:00Z" w:initials="H">
    <w:p w14:paraId="649FBC30" w14:textId="77777777" w:rsidR="00CE79DD" w:rsidRDefault="00CE79DD" w:rsidP="00CE79DD">
      <w:pPr>
        <w:pStyle w:val="Textkomente"/>
      </w:pPr>
      <w:r>
        <w:rPr>
          <w:rStyle w:val="Odkaznakoment"/>
        </w:rPr>
        <w:annotationRef/>
      </w:r>
      <w:r>
        <w:t xml:space="preserve">Není hypertextový odkaz. </w:t>
      </w:r>
    </w:p>
  </w:comment>
  <w:comment w:id="3" w:author="Hanča" w:date="2018-04-22T08:45:00Z" w:initials="H">
    <w:p w14:paraId="5F037B2A" w14:textId="77777777" w:rsidR="00CE79DD" w:rsidRDefault="00CE79DD" w:rsidP="00CE79DD">
      <w:pPr>
        <w:pStyle w:val="Textkomente"/>
      </w:pPr>
      <w:r>
        <w:rPr>
          <w:rStyle w:val="Odkaznakoment"/>
        </w:rPr>
        <w:annotationRef/>
      </w:r>
      <w:r>
        <w:t>Není odkaz</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9FBC30" w15:done="0"/>
  <w15:commentEx w15:paraId="5F037B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9DD021" w16cid:durableId="1E875FBF"/>
  <w16cid:commentId w16cid:paraId="3C46419A" w16cid:durableId="1E875FC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F942B" w14:textId="77777777" w:rsidR="00106B07" w:rsidRDefault="00106B07" w:rsidP="00F971F6">
      <w:pPr>
        <w:spacing w:after="0" w:line="240" w:lineRule="auto"/>
      </w:pPr>
      <w:r>
        <w:separator/>
      </w:r>
    </w:p>
  </w:endnote>
  <w:endnote w:type="continuationSeparator" w:id="0">
    <w:p w14:paraId="41A5A0A8" w14:textId="77777777" w:rsidR="00106B07" w:rsidRDefault="00106B07" w:rsidP="00F971F6">
      <w:pPr>
        <w:spacing w:after="0" w:line="240" w:lineRule="auto"/>
      </w:pPr>
      <w:r>
        <w:continuationSeparator/>
      </w:r>
    </w:p>
  </w:endnote>
  <w:endnote w:type="continuationNotice" w:id="1">
    <w:p w14:paraId="50CD7682" w14:textId="77777777" w:rsidR="00106B07" w:rsidRDefault="00106B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277423"/>
      <w:docPartObj>
        <w:docPartGallery w:val="Page Numbers (Bottom of Page)"/>
        <w:docPartUnique/>
      </w:docPartObj>
    </w:sdtPr>
    <w:sdtEndPr/>
    <w:sdtContent>
      <w:p w14:paraId="66308236" w14:textId="77777777" w:rsidR="00BA4AC4" w:rsidRDefault="00BA4AC4">
        <w:pPr>
          <w:pStyle w:val="Zpat"/>
          <w:jc w:val="right"/>
        </w:pPr>
        <w:r>
          <w:fldChar w:fldCharType="begin"/>
        </w:r>
        <w:r>
          <w:instrText>PAGE   \* MERGEFORMAT</w:instrText>
        </w:r>
        <w:r>
          <w:fldChar w:fldCharType="separate"/>
        </w:r>
        <w:r w:rsidR="00214D83">
          <w:rPr>
            <w:noProof/>
          </w:rPr>
          <w:t>9</w:t>
        </w:r>
        <w:r>
          <w:rPr>
            <w:noProof/>
          </w:rPr>
          <w:fldChar w:fldCharType="end"/>
        </w:r>
      </w:p>
    </w:sdtContent>
  </w:sdt>
  <w:p w14:paraId="6E003053" w14:textId="77777777" w:rsidR="00BA4AC4" w:rsidRDefault="00BA4AC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59633" w14:textId="77777777" w:rsidR="00106B07" w:rsidRDefault="00106B07" w:rsidP="00F971F6">
      <w:pPr>
        <w:spacing w:after="0" w:line="240" w:lineRule="auto"/>
      </w:pPr>
      <w:r>
        <w:separator/>
      </w:r>
    </w:p>
  </w:footnote>
  <w:footnote w:type="continuationSeparator" w:id="0">
    <w:p w14:paraId="11A2E8F6" w14:textId="77777777" w:rsidR="00106B07" w:rsidRDefault="00106B07" w:rsidP="00F971F6">
      <w:pPr>
        <w:spacing w:after="0" w:line="240" w:lineRule="auto"/>
      </w:pPr>
      <w:r>
        <w:continuationSeparator/>
      </w:r>
    </w:p>
  </w:footnote>
  <w:footnote w:type="continuationNotice" w:id="1">
    <w:p w14:paraId="0D8AEA79" w14:textId="77777777" w:rsidR="00106B07" w:rsidRDefault="00106B0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675BD"/>
    <w:multiLevelType w:val="hybridMultilevel"/>
    <w:tmpl w:val="5A92F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0344A1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50564C3"/>
    <w:multiLevelType w:val="hybridMultilevel"/>
    <w:tmpl w:val="A70AAAF6"/>
    <w:lvl w:ilvl="0" w:tplc="3FFC17F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1373FA3"/>
    <w:multiLevelType w:val="hybridMultilevel"/>
    <w:tmpl w:val="02605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DA23B23"/>
    <w:multiLevelType w:val="hybridMultilevel"/>
    <w:tmpl w:val="823226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0687C21"/>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7C1C0A7E"/>
    <w:multiLevelType w:val="hybridMultilevel"/>
    <w:tmpl w:val="614AE6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0"/>
  </w:num>
  <w:num w:numId="6">
    <w:abstractNumId w:val="1"/>
  </w:num>
  <w:num w:numId="7">
    <w:abstractNumId w:val="6"/>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ča">
    <w15:presenceInfo w15:providerId="None" w15:userId="Hanč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0B3"/>
    <w:rsid w:val="000056F8"/>
    <w:rsid w:val="000059B4"/>
    <w:rsid w:val="00012457"/>
    <w:rsid w:val="0001246E"/>
    <w:rsid w:val="00012591"/>
    <w:rsid w:val="00032001"/>
    <w:rsid w:val="00045E7D"/>
    <w:rsid w:val="000519AC"/>
    <w:rsid w:val="00052B3E"/>
    <w:rsid w:val="00074A71"/>
    <w:rsid w:val="00074BF7"/>
    <w:rsid w:val="00077DE1"/>
    <w:rsid w:val="00081A0C"/>
    <w:rsid w:val="000A094D"/>
    <w:rsid w:val="000C042E"/>
    <w:rsid w:val="000D1318"/>
    <w:rsid w:val="000E4162"/>
    <w:rsid w:val="000E4ED7"/>
    <w:rsid w:val="000E6D48"/>
    <w:rsid w:val="000F4A21"/>
    <w:rsid w:val="000F5A05"/>
    <w:rsid w:val="000F5C6A"/>
    <w:rsid w:val="000F7047"/>
    <w:rsid w:val="001018FA"/>
    <w:rsid w:val="00102486"/>
    <w:rsid w:val="0010636E"/>
    <w:rsid w:val="00106B07"/>
    <w:rsid w:val="00111A26"/>
    <w:rsid w:val="00111F6E"/>
    <w:rsid w:val="00112AA5"/>
    <w:rsid w:val="0011446B"/>
    <w:rsid w:val="00120C77"/>
    <w:rsid w:val="0012463D"/>
    <w:rsid w:val="00126F75"/>
    <w:rsid w:val="001335EE"/>
    <w:rsid w:val="00141426"/>
    <w:rsid w:val="00142E5B"/>
    <w:rsid w:val="001434EA"/>
    <w:rsid w:val="00150137"/>
    <w:rsid w:val="0016406D"/>
    <w:rsid w:val="0016419A"/>
    <w:rsid w:val="00166367"/>
    <w:rsid w:val="00166F2F"/>
    <w:rsid w:val="00170F1D"/>
    <w:rsid w:val="00172D7A"/>
    <w:rsid w:val="0018172A"/>
    <w:rsid w:val="00190DB0"/>
    <w:rsid w:val="001913CA"/>
    <w:rsid w:val="00191524"/>
    <w:rsid w:val="00193822"/>
    <w:rsid w:val="00195806"/>
    <w:rsid w:val="001972D6"/>
    <w:rsid w:val="001A49BF"/>
    <w:rsid w:val="001C3D90"/>
    <w:rsid w:val="001D3719"/>
    <w:rsid w:val="001D4794"/>
    <w:rsid w:val="001D55BB"/>
    <w:rsid w:val="001E0C5D"/>
    <w:rsid w:val="001E1ED0"/>
    <w:rsid w:val="001F5C57"/>
    <w:rsid w:val="00202D35"/>
    <w:rsid w:val="00203BC1"/>
    <w:rsid w:val="00204660"/>
    <w:rsid w:val="0021037C"/>
    <w:rsid w:val="0021216E"/>
    <w:rsid w:val="00214B6F"/>
    <w:rsid w:val="00214D83"/>
    <w:rsid w:val="00215F74"/>
    <w:rsid w:val="0023549F"/>
    <w:rsid w:val="0023580C"/>
    <w:rsid w:val="002447C0"/>
    <w:rsid w:val="00260B1E"/>
    <w:rsid w:val="002645C6"/>
    <w:rsid w:val="002739F7"/>
    <w:rsid w:val="00273DDD"/>
    <w:rsid w:val="002741F2"/>
    <w:rsid w:val="00277F62"/>
    <w:rsid w:val="00281A63"/>
    <w:rsid w:val="0028569E"/>
    <w:rsid w:val="00292327"/>
    <w:rsid w:val="00294596"/>
    <w:rsid w:val="002978AC"/>
    <w:rsid w:val="002A0AEA"/>
    <w:rsid w:val="002A1DE5"/>
    <w:rsid w:val="002A7A57"/>
    <w:rsid w:val="002A7ABE"/>
    <w:rsid w:val="002B3F09"/>
    <w:rsid w:val="002C53A0"/>
    <w:rsid w:val="002C7168"/>
    <w:rsid w:val="002E0C13"/>
    <w:rsid w:val="002E75CD"/>
    <w:rsid w:val="002F380B"/>
    <w:rsid w:val="003019A5"/>
    <w:rsid w:val="00301F43"/>
    <w:rsid w:val="00301F5E"/>
    <w:rsid w:val="00307A82"/>
    <w:rsid w:val="003127CC"/>
    <w:rsid w:val="00313F86"/>
    <w:rsid w:val="00315AE3"/>
    <w:rsid w:val="00320B20"/>
    <w:rsid w:val="00342191"/>
    <w:rsid w:val="00362CD4"/>
    <w:rsid w:val="0037515E"/>
    <w:rsid w:val="003751C2"/>
    <w:rsid w:val="003868CD"/>
    <w:rsid w:val="00394C9E"/>
    <w:rsid w:val="003A0048"/>
    <w:rsid w:val="003A5E19"/>
    <w:rsid w:val="003A6D73"/>
    <w:rsid w:val="003B3BC0"/>
    <w:rsid w:val="003B5655"/>
    <w:rsid w:val="003B7274"/>
    <w:rsid w:val="003D074B"/>
    <w:rsid w:val="003D339A"/>
    <w:rsid w:val="003F3688"/>
    <w:rsid w:val="003F42C2"/>
    <w:rsid w:val="004165BE"/>
    <w:rsid w:val="0042697D"/>
    <w:rsid w:val="00426C4C"/>
    <w:rsid w:val="00433D48"/>
    <w:rsid w:val="004417F4"/>
    <w:rsid w:val="00445DD3"/>
    <w:rsid w:val="00445DEB"/>
    <w:rsid w:val="00450139"/>
    <w:rsid w:val="0045354A"/>
    <w:rsid w:val="00466199"/>
    <w:rsid w:val="00484FAC"/>
    <w:rsid w:val="00486C21"/>
    <w:rsid w:val="00490658"/>
    <w:rsid w:val="004A5A6F"/>
    <w:rsid w:val="004A72D1"/>
    <w:rsid w:val="004B2431"/>
    <w:rsid w:val="004B3B39"/>
    <w:rsid w:val="004B7813"/>
    <w:rsid w:val="004C1254"/>
    <w:rsid w:val="004C2433"/>
    <w:rsid w:val="004C3400"/>
    <w:rsid w:val="004D5D4C"/>
    <w:rsid w:val="004E3924"/>
    <w:rsid w:val="004E414C"/>
    <w:rsid w:val="004F0E4B"/>
    <w:rsid w:val="004F60B3"/>
    <w:rsid w:val="005029C8"/>
    <w:rsid w:val="005069D4"/>
    <w:rsid w:val="00531443"/>
    <w:rsid w:val="0053441C"/>
    <w:rsid w:val="0054541E"/>
    <w:rsid w:val="00561430"/>
    <w:rsid w:val="00576186"/>
    <w:rsid w:val="00577EDF"/>
    <w:rsid w:val="00595A62"/>
    <w:rsid w:val="00597898"/>
    <w:rsid w:val="005A1C42"/>
    <w:rsid w:val="005A2A4C"/>
    <w:rsid w:val="005B667E"/>
    <w:rsid w:val="005C7D10"/>
    <w:rsid w:val="005D13B5"/>
    <w:rsid w:val="005D196D"/>
    <w:rsid w:val="005D298F"/>
    <w:rsid w:val="005D77E5"/>
    <w:rsid w:val="005E02D2"/>
    <w:rsid w:val="005E2FB5"/>
    <w:rsid w:val="005E3CD6"/>
    <w:rsid w:val="005E3D41"/>
    <w:rsid w:val="005E5BD0"/>
    <w:rsid w:val="005E681E"/>
    <w:rsid w:val="005E6BCF"/>
    <w:rsid w:val="005F2E88"/>
    <w:rsid w:val="005F31F0"/>
    <w:rsid w:val="005F6809"/>
    <w:rsid w:val="00601553"/>
    <w:rsid w:val="00615EC2"/>
    <w:rsid w:val="0061631E"/>
    <w:rsid w:val="00623549"/>
    <w:rsid w:val="00630FB9"/>
    <w:rsid w:val="00631147"/>
    <w:rsid w:val="00632AC2"/>
    <w:rsid w:val="006375C9"/>
    <w:rsid w:val="00640406"/>
    <w:rsid w:val="00640996"/>
    <w:rsid w:val="00640D63"/>
    <w:rsid w:val="006417B8"/>
    <w:rsid w:val="0065566C"/>
    <w:rsid w:val="0066042D"/>
    <w:rsid w:val="00666B19"/>
    <w:rsid w:val="00672D8E"/>
    <w:rsid w:val="00672DC4"/>
    <w:rsid w:val="00675B33"/>
    <w:rsid w:val="00681F2B"/>
    <w:rsid w:val="00684801"/>
    <w:rsid w:val="006908C9"/>
    <w:rsid w:val="00696A5D"/>
    <w:rsid w:val="006A2925"/>
    <w:rsid w:val="006A48FC"/>
    <w:rsid w:val="006A637B"/>
    <w:rsid w:val="006B1C74"/>
    <w:rsid w:val="006B7CCA"/>
    <w:rsid w:val="006C10F8"/>
    <w:rsid w:val="006C6700"/>
    <w:rsid w:val="006C71B1"/>
    <w:rsid w:val="006D0FFE"/>
    <w:rsid w:val="006D3B3F"/>
    <w:rsid w:val="006F1CCC"/>
    <w:rsid w:val="00700A3B"/>
    <w:rsid w:val="00701559"/>
    <w:rsid w:val="0072127A"/>
    <w:rsid w:val="00730074"/>
    <w:rsid w:val="00734C72"/>
    <w:rsid w:val="00736581"/>
    <w:rsid w:val="00745DD0"/>
    <w:rsid w:val="0074637F"/>
    <w:rsid w:val="00753B49"/>
    <w:rsid w:val="007638AA"/>
    <w:rsid w:val="00770327"/>
    <w:rsid w:val="0077181C"/>
    <w:rsid w:val="00771FE6"/>
    <w:rsid w:val="00776E93"/>
    <w:rsid w:val="00777D21"/>
    <w:rsid w:val="00783ABD"/>
    <w:rsid w:val="00783DA5"/>
    <w:rsid w:val="00787B7B"/>
    <w:rsid w:val="007A190A"/>
    <w:rsid w:val="007A6481"/>
    <w:rsid w:val="007A6B23"/>
    <w:rsid w:val="007B1E8B"/>
    <w:rsid w:val="007E4B9B"/>
    <w:rsid w:val="007E60DB"/>
    <w:rsid w:val="007E7F88"/>
    <w:rsid w:val="007F1AE5"/>
    <w:rsid w:val="00813A77"/>
    <w:rsid w:val="00815A6F"/>
    <w:rsid w:val="00827AD8"/>
    <w:rsid w:val="00837631"/>
    <w:rsid w:val="0084283B"/>
    <w:rsid w:val="00880D9D"/>
    <w:rsid w:val="00890EFB"/>
    <w:rsid w:val="0089677E"/>
    <w:rsid w:val="00896A02"/>
    <w:rsid w:val="008A4391"/>
    <w:rsid w:val="008B0A84"/>
    <w:rsid w:val="008B1096"/>
    <w:rsid w:val="008B1284"/>
    <w:rsid w:val="008B2F67"/>
    <w:rsid w:val="008B3C7E"/>
    <w:rsid w:val="008B5743"/>
    <w:rsid w:val="008B584B"/>
    <w:rsid w:val="008B7BC6"/>
    <w:rsid w:val="008C3ABA"/>
    <w:rsid w:val="008C5215"/>
    <w:rsid w:val="008C5220"/>
    <w:rsid w:val="008D1677"/>
    <w:rsid w:val="008D5BFC"/>
    <w:rsid w:val="008D5F24"/>
    <w:rsid w:val="008F423C"/>
    <w:rsid w:val="008F7B97"/>
    <w:rsid w:val="00901441"/>
    <w:rsid w:val="00916EE3"/>
    <w:rsid w:val="00917227"/>
    <w:rsid w:val="00924072"/>
    <w:rsid w:val="009357EE"/>
    <w:rsid w:val="00945554"/>
    <w:rsid w:val="009506EB"/>
    <w:rsid w:val="009622EE"/>
    <w:rsid w:val="00964660"/>
    <w:rsid w:val="00966088"/>
    <w:rsid w:val="009849D1"/>
    <w:rsid w:val="009A0312"/>
    <w:rsid w:val="009A069A"/>
    <w:rsid w:val="009A2B65"/>
    <w:rsid w:val="009B023E"/>
    <w:rsid w:val="009B3753"/>
    <w:rsid w:val="009D0A9C"/>
    <w:rsid w:val="009E1B78"/>
    <w:rsid w:val="009E1F02"/>
    <w:rsid w:val="009E572B"/>
    <w:rsid w:val="009E657A"/>
    <w:rsid w:val="00A130FF"/>
    <w:rsid w:val="00A15731"/>
    <w:rsid w:val="00A203F2"/>
    <w:rsid w:val="00A231EB"/>
    <w:rsid w:val="00A262E9"/>
    <w:rsid w:val="00A27D0A"/>
    <w:rsid w:val="00A32169"/>
    <w:rsid w:val="00A33327"/>
    <w:rsid w:val="00A36ED6"/>
    <w:rsid w:val="00A45C92"/>
    <w:rsid w:val="00A463B4"/>
    <w:rsid w:val="00A4764D"/>
    <w:rsid w:val="00A51750"/>
    <w:rsid w:val="00A5483A"/>
    <w:rsid w:val="00A559CD"/>
    <w:rsid w:val="00A620A6"/>
    <w:rsid w:val="00A6374E"/>
    <w:rsid w:val="00A6608A"/>
    <w:rsid w:val="00A8309A"/>
    <w:rsid w:val="00A86FD3"/>
    <w:rsid w:val="00A87111"/>
    <w:rsid w:val="00A95567"/>
    <w:rsid w:val="00AA05AD"/>
    <w:rsid w:val="00AA41F4"/>
    <w:rsid w:val="00AB1969"/>
    <w:rsid w:val="00AC360D"/>
    <w:rsid w:val="00AC406F"/>
    <w:rsid w:val="00AC5979"/>
    <w:rsid w:val="00AC6AA0"/>
    <w:rsid w:val="00AD0257"/>
    <w:rsid w:val="00AD197A"/>
    <w:rsid w:val="00AD70D4"/>
    <w:rsid w:val="00AF21F2"/>
    <w:rsid w:val="00AF4728"/>
    <w:rsid w:val="00AF7102"/>
    <w:rsid w:val="00AF72DB"/>
    <w:rsid w:val="00B15AFA"/>
    <w:rsid w:val="00B17C8B"/>
    <w:rsid w:val="00B203B0"/>
    <w:rsid w:val="00B2380B"/>
    <w:rsid w:val="00B27E5D"/>
    <w:rsid w:val="00B3048A"/>
    <w:rsid w:val="00B451EB"/>
    <w:rsid w:val="00B46546"/>
    <w:rsid w:val="00B467F8"/>
    <w:rsid w:val="00B57402"/>
    <w:rsid w:val="00B60307"/>
    <w:rsid w:val="00B71AF7"/>
    <w:rsid w:val="00B74049"/>
    <w:rsid w:val="00B9682B"/>
    <w:rsid w:val="00BA1AB3"/>
    <w:rsid w:val="00BA4AC4"/>
    <w:rsid w:val="00BA5429"/>
    <w:rsid w:val="00BA6538"/>
    <w:rsid w:val="00BA6F7B"/>
    <w:rsid w:val="00BB2E61"/>
    <w:rsid w:val="00BB4E01"/>
    <w:rsid w:val="00BB6851"/>
    <w:rsid w:val="00BC44E6"/>
    <w:rsid w:val="00BC75BA"/>
    <w:rsid w:val="00BD0131"/>
    <w:rsid w:val="00BD081A"/>
    <w:rsid w:val="00BD0D4B"/>
    <w:rsid w:val="00BD0E71"/>
    <w:rsid w:val="00BD2D90"/>
    <w:rsid w:val="00BD4D81"/>
    <w:rsid w:val="00BD56F2"/>
    <w:rsid w:val="00BE2A7D"/>
    <w:rsid w:val="00BE790B"/>
    <w:rsid w:val="00C01B50"/>
    <w:rsid w:val="00C13E1A"/>
    <w:rsid w:val="00C27FF9"/>
    <w:rsid w:val="00C47986"/>
    <w:rsid w:val="00C51893"/>
    <w:rsid w:val="00C55F9F"/>
    <w:rsid w:val="00C60B23"/>
    <w:rsid w:val="00C61A48"/>
    <w:rsid w:val="00C741DA"/>
    <w:rsid w:val="00C76C4D"/>
    <w:rsid w:val="00C76F08"/>
    <w:rsid w:val="00C7761A"/>
    <w:rsid w:val="00C8673D"/>
    <w:rsid w:val="00C914E6"/>
    <w:rsid w:val="00C917C3"/>
    <w:rsid w:val="00C91FAA"/>
    <w:rsid w:val="00CA36B2"/>
    <w:rsid w:val="00CA3EF9"/>
    <w:rsid w:val="00CA4CD9"/>
    <w:rsid w:val="00CC1084"/>
    <w:rsid w:val="00CC6C6E"/>
    <w:rsid w:val="00CD2CDF"/>
    <w:rsid w:val="00CE1FC3"/>
    <w:rsid w:val="00CE3FDC"/>
    <w:rsid w:val="00CE6442"/>
    <w:rsid w:val="00CE79DD"/>
    <w:rsid w:val="00CF37D5"/>
    <w:rsid w:val="00CF616C"/>
    <w:rsid w:val="00D06C53"/>
    <w:rsid w:val="00D07E81"/>
    <w:rsid w:val="00D10929"/>
    <w:rsid w:val="00D14997"/>
    <w:rsid w:val="00D23B17"/>
    <w:rsid w:val="00D27335"/>
    <w:rsid w:val="00D32879"/>
    <w:rsid w:val="00D40772"/>
    <w:rsid w:val="00D44017"/>
    <w:rsid w:val="00D50CBE"/>
    <w:rsid w:val="00D52157"/>
    <w:rsid w:val="00D552D5"/>
    <w:rsid w:val="00D55EAB"/>
    <w:rsid w:val="00D601CC"/>
    <w:rsid w:val="00D6259F"/>
    <w:rsid w:val="00D64742"/>
    <w:rsid w:val="00D7104D"/>
    <w:rsid w:val="00D724E4"/>
    <w:rsid w:val="00D81DE0"/>
    <w:rsid w:val="00D82BB5"/>
    <w:rsid w:val="00D93DA4"/>
    <w:rsid w:val="00D95B6F"/>
    <w:rsid w:val="00DA2E3F"/>
    <w:rsid w:val="00DB2C0C"/>
    <w:rsid w:val="00DB42A0"/>
    <w:rsid w:val="00DB5D5B"/>
    <w:rsid w:val="00DB75AF"/>
    <w:rsid w:val="00DD04FE"/>
    <w:rsid w:val="00DD06CD"/>
    <w:rsid w:val="00DD23FC"/>
    <w:rsid w:val="00DD64A4"/>
    <w:rsid w:val="00DE18E5"/>
    <w:rsid w:val="00DE3212"/>
    <w:rsid w:val="00DE37D7"/>
    <w:rsid w:val="00DE3F2A"/>
    <w:rsid w:val="00DF0F13"/>
    <w:rsid w:val="00E01BB8"/>
    <w:rsid w:val="00E162DE"/>
    <w:rsid w:val="00E255F3"/>
    <w:rsid w:val="00E341B2"/>
    <w:rsid w:val="00E43A8A"/>
    <w:rsid w:val="00E451FF"/>
    <w:rsid w:val="00E458C9"/>
    <w:rsid w:val="00E66476"/>
    <w:rsid w:val="00E7332B"/>
    <w:rsid w:val="00E74FE6"/>
    <w:rsid w:val="00E802A3"/>
    <w:rsid w:val="00E8282D"/>
    <w:rsid w:val="00E92C29"/>
    <w:rsid w:val="00E94E7D"/>
    <w:rsid w:val="00EA085A"/>
    <w:rsid w:val="00EA5A88"/>
    <w:rsid w:val="00EA6C57"/>
    <w:rsid w:val="00EB11DC"/>
    <w:rsid w:val="00EB3887"/>
    <w:rsid w:val="00EB6F46"/>
    <w:rsid w:val="00EC35B3"/>
    <w:rsid w:val="00EE3315"/>
    <w:rsid w:val="00EE43FF"/>
    <w:rsid w:val="00EE6290"/>
    <w:rsid w:val="00EE6A55"/>
    <w:rsid w:val="00EF6A7A"/>
    <w:rsid w:val="00EF6BA9"/>
    <w:rsid w:val="00F133F0"/>
    <w:rsid w:val="00F20030"/>
    <w:rsid w:val="00F239F9"/>
    <w:rsid w:val="00F54AC3"/>
    <w:rsid w:val="00F649A4"/>
    <w:rsid w:val="00F65C52"/>
    <w:rsid w:val="00F66804"/>
    <w:rsid w:val="00F8773C"/>
    <w:rsid w:val="00F971F6"/>
    <w:rsid w:val="00FA14AE"/>
    <w:rsid w:val="00FA74D5"/>
    <w:rsid w:val="00FB2C5D"/>
    <w:rsid w:val="00FB614D"/>
    <w:rsid w:val="00FC16D1"/>
    <w:rsid w:val="00FC2DDA"/>
    <w:rsid w:val="00FF1E77"/>
    <w:rsid w:val="00FF71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92AD9"/>
  <w15:docId w15:val="{4044C507-A81E-4917-8A27-6581BC7B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43A8A"/>
    <w:pPr>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193822"/>
    <w:pPr>
      <w:keepNext/>
      <w:keepLines/>
      <w:numPr>
        <w:numId w:val="2"/>
      </w:numPr>
      <w:spacing w:before="240" w:after="0"/>
      <w:outlineLvl w:val="0"/>
    </w:pPr>
    <w:rPr>
      <w:rFonts w:eastAsiaTheme="majorEastAsia" w:cstheme="majorBidi"/>
      <w:b/>
      <w:color w:val="2F5496" w:themeColor="accent1" w:themeShade="BF"/>
      <w:sz w:val="32"/>
      <w:szCs w:val="32"/>
    </w:rPr>
  </w:style>
  <w:style w:type="paragraph" w:styleId="Nadpis2">
    <w:name w:val="heading 2"/>
    <w:basedOn w:val="Normln"/>
    <w:next w:val="Normln"/>
    <w:link w:val="Nadpis2Char"/>
    <w:uiPriority w:val="9"/>
    <w:unhideWhenUsed/>
    <w:qFormat/>
    <w:rsid w:val="00193822"/>
    <w:pPr>
      <w:keepNext/>
      <w:keepLines/>
      <w:numPr>
        <w:ilvl w:val="1"/>
        <w:numId w:val="2"/>
      </w:numPr>
      <w:spacing w:before="40" w:after="0"/>
      <w:outlineLvl w:val="1"/>
    </w:pPr>
    <w:rPr>
      <w:rFonts w:eastAsiaTheme="majorEastAsia" w:cstheme="majorBidi"/>
      <w:b/>
      <w:color w:val="2F5496" w:themeColor="accent1" w:themeShade="BF"/>
      <w:sz w:val="26"/>
      <w:szCs w:val="26"/>
    </w:rPr>
  </w:style>
  <w:style w:type="paragraph" w:styleId="Nadpis3">
    <w:name w:val="heading 3"/>
    <w:basedOn w:val="Normln"/>
    <w:next w:val="Normln"/>
    <w:link w:val="Nadpis3Char"/>
    <w:uiPriority w:val="9"/>
    <w:unhideWhenUsed/>
    <w:qFormat/>
    <w:rsid w:val="00193822"/>
    <w:pPr>
      <w:keepNext/>
      <w:keepLines/>
      <w:numPr>
        <w:ilvl w:val="2"/>
        <w:numId w:val="2"/>
      </w:numPr>
      <w:spacing w:before="40" w:after="0"/>
      <w:outlineLvl w:val="2"/>
    </w:pPr>
    <w:rPr>
      <w:rFonts w:eastAsiaTheme="majorEastAsia" w:cstheme="majorBidi"/>
      <w:color w:val="1F3763" w:themeColor="accent1" w:themeShade="7F"/>
      <w:szCs w:val="24"/>
    </w:rPr>
  </w:style>
  <w:style w:type="paragraph" w:styleId="Nadpis4">
    <w:name w:val="heading 4"/>
    <w:basedOn w:val="Normln"/>
    <w:next w:val="Normln"/>
    <w:link w:val="Nadpis4Char"/>
    <w:uiPriority w:val="9"/>
    <w:unhideWhenUsed/>
    <w:qFormat/>
    <w:rsid w:val="005B667E"/>
    <w:pPr>
      <w:keepNext/>
      <w:keepLines/>
      <w:numPr>
        <w:ilvl w:val="3"/>
        <w:numId w:val="2"/>
      </w:numPr>
      <w:spacing w:before="40" w:after="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E43A8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E43A8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E43A8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E43A8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E43A8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971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971F6"/>
  </w:style>
  <w:style w:type="paragraph" w:styleId="Zpat">
    <w:name w:val="footer"/>
    <w:basedOn w:val="Normln"/>
    <w:link w:val="ZpatChar"/>
    <w:uiPriority w:val="99"/>
    <w:unhideWhenUsed/>
    <w:rsid w:val="00F971F6"/>
    <w:pPr>
      <w:tabs>
        <w:tab w:val="center" w:pos="4536"/>
        <w:tab w:val="right" w:pos="9072"/>
      </w:tabs>
      <w:spacing w:after="0" w:line="240" w:lineRule="auto"/>
    </w:pPr>
  </w:style>
  <w:style w:type="character" w:customStyle="1" w:styleId="ZpatChar">
    <w:name w:val="Zápatí Char"/>
    <w:basedOn w:val="Standardnpsmoodstavce"/>
    <w:link w:val="Zpat"/>
    <w:uiPriority w:val="99"/>
    <w:rsid w:val="00F971F6"/>
  </w:style>
  <w:style w:type="character" w:customStyle="1" w:styleId="Nadpis1Char">
    <w:name w:val="Nadpis 1 Char"/>
    <w:basedOn w:val="Standardnpsmoodstavce"/>
    <w:link w:val="Nadpis1"/>
    <w:uiPriority w:val="9"/>
    <w:rsid w:val="00193822"/>
    <w:rPr>
      <w:rFonts w:ascii="Times New Roman" w:eastAsiaTheme="majorEastAsia" w:hAnsi="Times New Roman" w:cstheme="majorBidi"/>
      <w:b/>
      <w:color w:val="2F5496" w:themeColor="accent1" w:themeShade="BF"/>
      <w:sz w:val="32"/>
      <w:szCs w:val="32"/>
    </w:rPr>
  </w:style>
  <w:style w:type="paragraph" w:styleId="Nadpisobsahu">
    <w:name w:val="TOC Heading"/>
    <w:basedOn w:val="Nadpis1"/>
    <w:next w:val="Normln"/>
    <w:uiPriority w:val="39"/>
    <w:unhideWhenUsed/>
    <w:qFormat/>
    <w:rsid w:val="002645C6"/>
    <w:pPr>
      <w:outlineLvl w:val="9"/>
    </w:pPr>
    <w:rPr>
      <w:lang w:eastAsia="cs-CZ"/>
    </w:rPr>
  </w:style>
  <w:style w:type="paragraph" w:styleId="Obsah1">
    <w:name w:val="toc 1"/>
    <w:basedOn w:val="Normln"/>
    <w:next w:val="Normln"/>
    <w:autoRedefine/>
    <w:uiPriority w:val="39"/>
    <w:unhideWhenUsed/>
    <w:rsid w:val="00BA4AC4"/>
    <w:pPr>
      <w:tabs>
        <w:tab w:val="left" w:pos="440"/>
        <w:tab w:val="right" w:leader="dot" w:pos="8495"/>
      </w:tabs>
      <w:spacing w:after="0"/>
    </w:pPr>
  </w:style>
  <w:style w:type="character" w:styleId="Hypertextovodkaz">
    <w:name w:val="Hyperlink"/>
    <w:basedOn w:val="Standardnpsmoodstavce"/>
    <w:uiPriority w:val="99"/>
    <w:unhideWhenUsed/>
    <w:rsid w:val="002645C6"/>
    <w:rPr>
      <w:color w:val="0563C1" w:themeColor="hyperlink"/>
      <w:u w:val="single"/>
    </w:rPr>
  </w:style>
  <w:style w:type="character" w:customStyle="1" w:styleId="Nadpis2Char">
    <w:name w:val="Nadpis 2 Char"/>
    <w:basedOn w:val="Standardnpsmoodstavce"/>
    <w:link w:val="Nadpis2"/>
    <w:uiPriority w:val="9"/>
    <w:rsid w:val="00193822"/>
    <w:rPr>
      <w:rFonts w:ascii="Times New Roman" w:eastAsiaTheme="majorEastAsia" w:hAnsi="Times New Roman" w:cstheme="majorBidi"/>
      <w:b/>
      <w:color w:val="2F5496" w:themeColor="accent1" w:themeShade="BF"/>
      <w:sz w:val="26"/>
      <w:szCs w:val="26"/>
    </w:rPr>
  </w:style>
  <w:style w:type="character" w:customStyle="1" w:styleId="Nadpis3Char">
    <w:name w:val="Nadpis 3 Char"/>
    <w:basedOn w:val="Standardnpsmoodstavce"/>
    <w:link w:val="Nadpis3"/>
    <w:uiPriority w:val="9"/>
    <w:rsid w:val="00193822"/>
    <w:rPr>
      <w:rFonts w:ascii="Times New Roman" w:eastAsiaTheme="majorEastAsia" w:hAnsi="Times New Roman" w:cstheme="majorBidi"/>
      <w:color w:val="1F3763" w:themeColor="accent1" w:themeShade="7F"/>
      <w:sz w:val="24"/>
      <w:szCs w:val="24"/>
    </w:rPr>
  </w:style>
  <w:style w:type="character" w:customStyle="1" w:styleId="Nadpis4Char">
    <w:name w:val="Nadpis 4 Char"/>
    <w:basedOn w:val="Standardnpsmoodstavce"/>
    <w:link w:val="Nadpis4"/>
    <w:uiPriority w:val="9"/>
    <w:rsid w:val="005B667E"/>
    <w:rPr>
      <w:rFonts w:ascii="Times New Roman" w:eastAsiaTheme="majorEastAsia" w:hAnsi="Times New Roman" w:cstheme="majorBidi"/>
      <w:i/>
      <w:iCs/>
      <w:color w:val="2F5496" w:themeColor="accent1" w:themeShade="BF"/>
      <w:sz w:val="24"/>
    </w:rPr>
  </w:style>
  <w:style w:type="character" w:customStyle="1" w:styleId="Nadpis5Char">
    <w:name w:val="Nadpis 5 Char"/>
    <w:basedOn w:val="Standardnpsmoodstavce"/>
    <w:link w:val="Nadpis5"/>
    <w:uiPriority w:val="9"/>
    <w:semiHidden/>
    <w:rsid w:val="00E43A8A"/>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E43A8A"/>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E43A8A"/>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E43A8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E43A8A"/>
    <w:rPr>
      <w:rFonts w:asciiTheme="majorHAnsi" w:eastAsiaTheme="majorEastAsia" w:hAnsiTheme="majorHAnsi" w:cstheme="majorBidi"/>
      <w:i/>
      <w:iCs/>
      <w:color w:val="272727" w:themeColor="text1" w:themeTint="D8"/>
      <w:sz w:val="21"/>
      <w:szCs w:val="21"/>
    </w:rPr>
  </w:style>
  <w:style w:type="character" w:styleId="Zstupntext">
    <w:name w:val="Placeholder Text"/>
    <w:basedOn w:val="Standardnpsmoodstavce"/>
    <w:uiPriority w:val="99"/>
    <w:semiHidden/>
    <w:rsid w:val="00C51893"/>
    <w:rPr>
      <w:color w:val="808080"/>
    </w:rPr>
  </w:style>
  <w:style w:type="paragraph" w:styleId="Odstavecseseznamem">
    <w:name w:val="List Paragraph"/>
    <w:basedOn w:val="Normln"/>
    <w:uiPriority w:val="34"/>
    <w:qFormat/>
    <w:rsid w:val="00C51893"/>
    <w:pPr>
      <w:ind w:left="720"/>
      <w:contextualSpacing/>
    </w:pPr>
  </w:style>
  <w:style w:type="paragraph" w:styleId="Textbubliny">
    <w:name w:val="Balloon Text"/>
    <w:basedOn w:val="Normln"/>
    <w:link w:val="TextbublinyChar"/>
    <w:uiPriority w:val="99"/>
    <w:semiHidden/>
    <w:unhideWhenUsed/>
    <w:rsid w:val="0023580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3580C"/>
    <w:rPr>
      <w:rFonts w:ascii="Segoe UI" w:hAnsi="Segoe UI" w:cs="Segoe UI"/>
      <w:sz w:val="18"/>
      <w:szCs w:val="18"/>
    </w:rPr>
  </w:style>
  <w:style w:type="paragraph" w:styleId="Revize">
    <w:name w:val="Revision"/>
    <w:hidden/>
    <w:uiPriority w:val="99"/>
    <w:semiHidden/>
    <w:rsid w:val="0023580C"/>
    <w:pPr>
      <w:spacing w:after="0" w:line="240" w:lineRule="auto"/>
    </w:pPr>
    <w:rPr>
      <w:rFonts w:ascii="Times New Roman" w:hAnsi="Times New Roman"/>
      <w:sz w:val="24"/>
    </w:rPr>
  </w:style>
  <w:style w:type="character" w:customStyle="1" w:styleId="Nevyeenzmnka1">
    <w:name w:val="Nevyřešená zmínka1"/>
    <w:basedOn w:val="Standardnpsmoodstavce"/>
    <w:uiPriority w:val="99"/>
    <w:semiHidden/>
    <w:unhideWhenUsed/>
    <w:rsid w:val="00771FE6"/>
    <w:rPr>
      <w:color w:val="808080"/>
      <w:shd w:val="clear" w:color="auto" w:fill="E6E6E6"/>
    </w:rPr>
  </w:style>
  <w:style w:type="character" w:styleId="Sledovanodkaz">
    <w:name w:val="FollowedHyperlink"/>
    <w:basedOn w:val="Standardnpsmoodstavce"/>
    <w:uiPriority w:val="99"/>
    <w:semiHidden/>
    <w:unhideWhenUsed/>
    <w:rsid w:val="00B17C8B"/>
    <w:rPr>
      <w:color w:val="954F72" w:themeColor="followedHyperlink"/>
      <w:u w:val="single"/>
    </w:rPr>
  </w:style>
  <w:style w:type="paragraph" w:styleId="Obsah2">
    <w:name w:val="toc 2"/>
    <w:basedOn w:val="Normln"/>
    <w:next w:val="Normln"/>
    <w:autoRedefine/>
    <w:uiPriority w:val="39"/>
    <w:unhideWhenUsed/>
    <w:qFormat/>
    <w:rsid w:val="00EA6C57"/>
    <w:pPr>
      <w:spacing w:after="100" w:line="276" w:lineRule="auto"/>
      <w:ind w:left="220"/>
      <w:jc w:val="left"/>
    </w:pPr>
    <w:rPr>
      <w:rFonts w:asciiTheme="minorHAnsi" w:hAnsiTheme="minorHAnsi"/>
      <w:sz w:val="22"/>
    </w:rPr>
  </w:style>
  <w:style w:type="paragraph" w:styleId="Obsah3">
    <w:name w:val="toc 3"/>
    <w:basedOn w:val="Normln"/>
    <w:next w:val="Normln"/>
    <w:autoRedefine/>
    <w:uiPriority w:val="39"/>
    <w:unhideWhenUsed/>
    <w:qFormat/>
    <w:rsid w:val="00EA6C57"/>
    <w:pPr>
      <w:spacing w:after="100" w:line="276" w:lineRule="auto"/>
      <w:ind w:left="440"/>
      <w:jc w:val="left"/>
    </w:pPr>
    <w:rPr>
      <w:rFonts w:asciiTheme="minorHAnsi" w:hAnsiTheme="minorHAnsi"/>
      <w:sz w:val="22"/>
    </w:rPr>
  </w:style>
  <w:style w:type="paragraph" w:customStyle="1" w:styleId="obrazek">
    <w:name w:val="obrazek"/>
    <w:basedOn w:val="Normln"/>
    <w:qFormat/>
    <w:rsid w:val="00EA6C57"/>
    <w:pPr>
      <w:keepNext/>
      <w:spacing w:before="200" w:after="0"/>
      <w:jc w:val="center"/>
    </w:pPr>
    <w:rPr>
      <w:rFonts w:cs="Times New Roman"/>
      <w:noProof/>
      <w:lang w:eastAsia="cs-CZ"/>
    </w:rPr>
  </w:style>
  <w:style w:type="paragraph" w:customStyle="1" w:styleId="textpodobr">
    <w:name w:val="text pod obr"/>
    <w:basedOn w:val="Normln"/>
    <w:qFormat/>
    <w:rsid w:val="00EA6C57"/>
    <w:pPr>
      <w:spacing w:after="240"/>
      <w:jc w:val="center"/>
    </w:pPr>
    <w:rPr>
      <w:rFonts w:cs="Times New Roman"/>
      <w:i/>
    </w:rPr>
  </w:style>
  <w:style w:type="paragraph" w:styleId="Bezmezer">
    <w:name w:val="No Spacing"/>
    <w:uiPriority w:val="1"/>
    <w:qFormat/>
    <w:rsid w:val="00EA6C57"/>
    <w:pPr>
      <w:spacing w:after="0" w:line="240" w:lineRule="auto"/>
      <w:jc w:val="both"/>
    </w:pPr>
    <w:rPr>
      <w:rFonts w:ascii="Times New Roman" w:hAnsi="Times New Roman"/>
      <w:sz w:val="24"/>
    </w:rPr>
  </w:style>
  <w:style w:type="character" w:customStyle="1" w:styleId="Nevyeenzmnka2">
    <w:name w:val="Nevyřešená zmínka2"/>
    <w:basedOn w:val="Standardnpsmoodstavce"/>
    <w:uiPriority w:val="99"/>
    <w:semiHidden/>
    <w:unhideWhenUsed/>
    <w:rsid w:val="00577EDF"/>
    <w:rPr>
      <w:color w:val="808080"/>
      <w:shd w:val="clear" w:color="auto" w:fill="E6E6E6"/>
    </w:rPr>
  </w:style>
  <w:style w:type="paragraph" w:styleId="Normlnweb">
    <w:name w:val="Normal (Web)"/>
    <w:basedOn w:val="Normln"/>
    <w:uiPriority w:val="99"/>
    <w:unhideWhenUsed/>
    <w:rsid w:val="00273DDD"/>
    <w:pPr>
      <w:spacing w:before="100" w:beforeAutospacing="1" w:after="100" w:afterAutospacing="1" w:line="240" w:lineRule="auto"/>
      <w:jc w:val="left"/>
    </w:pPr>
    <w:rPr>
      <w:rFonts w:eastAsia="Times New Roman" w:cs="Times New Roman"/>
      <w:szCs w:val="24"/>
      <w:lang w:eastAsia="cs-CZ"/>
    </w:rPr>
  </w:style>
  <w:style w:type="paragraph" w:customStyle="1" w:styleId="odtavec">
    <w:name w:val="odtavec"/>
    <w:basedOn w:val="Normln"/>
    <w:qFormat/>
    <w:rsid w:val="00273DDD"/>
    <w:pPr>
      <w:spacing w:before="200" w:after="120"/>
      <w:ind w:firstLine="709"/>
      <w:contextualSpacing/>
    </w:pPr>
    <w:rPr>
      <w:rFonts w:asciiTheme="minorHAnsi" w:hAnsiTheme="minorHAnsi"/>
    </w:rPr>
  </w:style>
  <w:style w:type="character" w:styleId="Siln">
    <w:name w:val="Strong"/>
    <w:basedOn w:val="Standardnpsmoodstavce"/>
    <w:uiPriority w:val="22"/>
    <w:qFormat/>
    <w:rsid w:val="00273DDD"/>
    <w:rPr>
      <w:b/>
      <w:bCs/>
    </w:rPr>
  </w:style>
  <w:style w:type="character" w:customStyle="1" w:styleId="Nevyeenzmnka3">
    <w:name w:val="Nevyřešená zmínka3"/>
    <w:basedOn w:val="Standardnpsmoodstavce"/>
    <w:uiPriority w:val="99"/>
    <w:semiHidden/>
    <w:unhideWhenUsed/>
    <w:rsid w:val="00B74049"/>
    <w:rPr>
      <w:color w:val="808080"/>
      <w:shd w:val="clear" w:color="auto" w:fill="E6E6E6"/>
    </w:rPr>
  </w:style>
  <w:style w:type="character" w:styleId="Odkaznakoment">
    <w:name w:val="annotation reference"/>
    <w:basedOn w:val="Standardnpsmoodstavce"/>
    <w:uiPriority w:val="99"/>
    <w:semiHidden/>
    <w:unhideWhenUsed/>
    <w:rsid w:val="00A620A6"/>
    <w:rPr>
      <w:sz w:val="16"/>
      <w:szCs w:val="16"/>
    </w:rPr>
  </w:style>
  <w:style w:type="paragraph" w:styleId="Textkomente">
    <w:name w:val="annotation text"/>
    <w:basedOn w:val="Normln"/>
    <w:link w:val="TextkomenteChar"/>
    <w:uiPriority w:val="99"/>
    <w:semiHidden/>
    <w:unhideWhenUsed/>
    <w:rsid w:val="00A620A6"/>
    <w:pPr>
      <w:spacing w:line="240" w:lineRule="auto"/>
    </w:pPr>
    <w:rPr>
      <w:sz w:val="20"/>
      <w:szCs w:val="20"/>
    </w:rPr>
  </w:style>
  <w:style w:type="character" w:customStyle="1" w:styleId="TextkomenteChar">
    <w:name w:val="Text komentáře Char"/>
    <w:basedOn w:val="Standardnpsmoodstavce"/>
    <w:link w:val="Textkomente"/>
    <w:uiPriority w:val="99"/>
    <w:semiHidden/>
    <w:rsid w:val="00A620A6"/>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A620A6"/>
    <w:rPr>
      <w:b/>
      <w:bCs/>
    </w:rPr>
  </w:style>
  <w:style w:type="character" w:customStyle="1" w:styleId="PedmtkomenteChar">
    <w:name w:val="Předmět komentáře Char"/>
    <w:basedOn w:val="TextkomenteChar"/>
    <w:link w:val="Pedmtkomente"/>
    <w:uiPriority w:val="99"/>
    <w:semiHidden/>
    <w:rsid w:val="00A620A6"/>
    <w:rPr>
      <w:rFonts w:ascii="Times New Roman" w:hAnsi="Times New Roman"/>
      <w:b/>
      <w:bCs/>
      <w:sz w:val="20"/>
      <w:szCs w:val="20"/>
    </w:rPr>
  </w:style>
  <w:style w:type="character" w:customStyle="1" w:styleId="Nevyeenzmnka4">
    <w:name w:val="Nevyřešená zmínka4"/>
    <w:basedOn w:val="Standardnpsmoodstavce"/>
    <w:uiPriority w:val="99"/>
    <w:semiHidden/>
    <w:unhideWhenUsed/>
    <w:rsid w:val="0049065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4659">
      <w:bodyDiv w:val="1"/>
      <w:marLeft w:val="0"/>
      <w:marRight w:val="0"/>
      <w:marTop w:val="0"/>
      <w:marBottom w:val="0"/>
      <w:divBdr>
        <w:top w:val="none" w:sz="0" w:space="0" w:color="auto"/>
        <w:left w:val="none" w:sz="0" w:space="0" w:color="auto"/>
        <w:bottom w:val="none" w:sz="0" w:space="0" w:color="auto"/>
        <w:right w:val="none" w:sz="0" w:space="0" w:color="auto"/>
      </w:divBdr>
      <w:divsChild>
        <w:div w:id="661004168">
          <w:marLeft w:val="0"/>
          <w:marRight w:val="0"/>
          <w:marTop w:val="0"/>
          <w:marBottom w:val="0"/>
          <w:divBdr>
            <w:top w:val="none" w:sz="0" w:space="0" w:color="auto"/>
            <w:left w:val="none" w:sz="0" w:space="0" w:color="auto"/>
            <w:bottom w:val="none" w:sz="0" w:space="0" w:color="auto"/>
            <w:right w:val="none" w:sz="0" w:space="0" w:color="auto"/>
          </w:divBdr>
        </w:div>
        <w:div w:id="680863096">
          <w:marLeft w:val="0"/>
          <w:marRight w:val="0"/>
          <w:marTop w:val="0"/>
          <w:marBottom w:val="0"/>
          <w:divBdr>
            <w:top w:val="none" w:sz="0" w:space="0" w:color="auto"/>
            <w:left w:val="none" w:sz="0" w:space="0" w:color="auto"/>
            <w:bottom w:val="none" w:sz="0" w:space="0" w:color="auto"/>
            <w:right w:val="none" w:sz="0" w:space="0" w:color="auto"/>
          </w:divBdr>
        </w:div>
        <w:div w:id="1927422356">
          <w:marLeft w:val="0"/>
          <w:marRight w:val="0"/>
          <w:marTop w:val="0"/>
          <w:marBottom w:val="0"/>
          <w:divBdr>
            <w:top w:val="none" w:sz="0" w:space="0" w:color="auto"/>
            <w:left w:val="none" w:sz="0" w:space="0" w:color="auto"/>
            <w:bottom w:val="none" w:sz="0" w:space="0" w:color="auto"/>
            <w:right w:val="none" w:sz="0" w:space="0" w:color="auto"/>
          </w:divBdr>
        </w:div>
        <w:div w:id="990715145">
          <w:marLeft w:val="0"/>
          <w:marRight w:val="0"/>
          <w:marTop w:val="0"/>
          <w:marBottom w:val="0"/>
          <w:divBdr>
            <w:top w:val="none" w:sz="0" w:space="0" w:color="auto"/>
            <w:left w:val="none" w:sz="0" w:space="0" w:color="auto"/>
            <w:bottom w:val="none" w:sz="0" w:space="0" w:color="auto"/>
            <w:right w:val="none" w:sz="0" w:space="0" w:color="auto"/>
          </w:divBdr>
        </w:div>
        <w:div w:id="2105372373">
          <w:marLeft w:val="0"/>
          <w:marRight w:val="0"/>
          <w:marTop w:val="0"/>
          <w:marBottom w:val="0"/>
          <w:divBdr>
            <w:top w:val="none" w:sz="0" w:space="0" w:color="auto"/>
            <w:left w:val="none" w:sz="0" w:space="0" w:color="auto"/>
            <w:bottom w:val="none" w:sz="0" w:space="0" w:color="auto"/>
            <w:right w:val="none" w:sz="0" w:space="0" w:color="auto"/>
          </w:divBdr>
        </w:div>
        <w:div w:id="2096397687">
          <w:marLeft w:val="0"/>
          <w:marRight w:val="0"/>
          <w:marTop w:val="0"/>
          <w:marBottom w:val="0"/>
          <w:divBdr>
            <w:top w:val="none" w:sz="0" w:space="0" w:color="auto"/>
            <w:left w:val="none" w:sz="0" w:space="0" w:color="auto"/>
            <w:bottom w:val="none" w:sz="0" w:space="0" w:color="auto"/>
            <w:right w:val="none" w:sz="0" w:space="0" w:color="auto"/>
          </w:divBdr>
        </w:div>
        <w:div w:id="1942225460">
          <w:marLeft w:val="0"/>
          <w:marRight w:val="0"/>
          <w:marTop w:val="0"/>
          <w:marBottom w:val="0"/>
          <w:divBdr>
            <w:top w:val="none" w:sz="0" w:space="0" w:color="auto"/>
            <w:left w:val="none" w:sz="0" w:space="0" w:color="auto"/>
            <w:bottom w:val="none" w:sz="0" w:space="0" w:color="auto"/>
            <w:right w:val="none" w:sz="0" w:space="0" w:color="auto"/>
          </w:divBdr>
        </w:div>
        <w:div w:id="499079676">
          <w:marLeft w:val="0"/>
          <w:marRight w:val="0"/>
          <w:marTop w:val="0"/>
          <w:marBottom w:val="0"/>
          <w:divBdr>
            <w:top w:val="none" w:sz="0" w:space="0" w:color="auto"/>
            <w:left w:val="none" w:sz="0" w:space="0" w:color="auto"/>
            <w:bottom w:val="none" w:sz="0" w:space="0" w:color="auto"/>
            <w:right w:val="none" w:sz="0" w:space="0" w:color="auto"/>
          </w:divBdr>
        </w:div>
        <w:div w:id="935021028">
          <w:marLeft w:val="0"/>
          <w:marRight w:val="0"/>
          <w:marTop w:val="0"/>
          <w:marBottom w:val="0"/>
          <w:divBdr>
            <w:top w:val="none" w:sz="0" w:space="0" w:color="auto"/>
            <w:left w:val="none" w:sz="0" w:space="0" w:color="auto"/>
            <w:bottom w:val="none" w:sz="0" w:space="0" w:color="auto"/>
            <w:right w:val="none" w:sz="0" w:space="0" w:color="auto"/>
          </w:divBdr>
        </w:div>
        <w:div w:id="1461802167">
          <w:marLeft w:val="0"/>
          <w:marRight w:val="0"/>
          <w:marTop w:val="0"/>
          <w:marBottom w:val="0"/>
          <w:divBdr>
            <w:top w:val="none" w:sz="0" w:space="0" w:color="auto"/>
            <w:left w:val="none" w:sz="0" w:space="0" w:color="auto"/>
            <w:bottom w:val="none" w:sz="0" w:space="0" w:color="auto"/>
            <w:right w:val="none" w:sz="0" w:space="0" w:color="auto"/>
          </w:divBdr>
        </w:div>
        <w:div w:id="519465259">
          <w:marLeft w:val="0"/>
          <w:marRight w:val="0"/>
          <w:marTop w:val="0"/>
          <w:marBottom w:val="0"/>
          <w:divBdr>
            <w:top w:val="none" w:sz="0" w:space="0" w:color="auto"/>
            <w:left w:val="none" w:sz="0" w:space="0" w:color="auto"/>
            <w:bottom w:val="none" w:sz="0" w:space="0" w:color="auto"/>
            <w:right w:val="none" w:sz="0" w:space="0" w:color="auto"/>
          </w:divBdr>
        </w:div>
        <w:div w:id="1092975659">
          <w:marLeft w:val="0"/>
          <w:marRight w:val="0"/>
          <w:marTop w:val="0"/>
          <w:marBottom w:val="0"/>
          <w:divBdr>
            <w:top w:val="none" w:sz="0" w:space="0" w:color="auto"/>
            <w:left w:val="none" w:sz="0" w:space="0" w:color="auto"/>
            <w:bottom w:val="none" w:sz="0" w:space="0" w:color="auto"/>
            <w:right w:val="none" w:sz="0" w:space="0" w:color="auto"/>
          </w:divBdr>
        </w:div>
        <w:div w:id="748885860">
          <w:marLeft w:val="0"/>
          <w:marRight w:val="0"/>
          <w:marTop w:val="0"/>
          <w:marBottom w:val="0"/>
          <w:divBdr>
            <w:top w:val="none" w:sz="0" w:space="0" w:color="auto"/>
            <w:left w:val="none" w:sz="0" w:space="0" w:color="auto"/>
            <w:bottom w:val="none" w:sz="0" w:space="0" w:color="auto"/>
            <w:right w:val="none" w:sz="0" w:space="0" w:color="auto"/>
          </w:divBdr>
        </w:div>
        <w:div w:id="1960985741">
          <w:marLeft w:val="0"/>
          <w:marRight w:val="0"/>
          <w:marTop w:val="0"/>
          <w:marBottom w:val="0"/>
          <w:divBdr>
            <w:top w:val="none" w:sz="0" w:space="0" w:color="auto"/>
            <w:left w:val="none" w:sz="0" w:space="0" w:color="auto"/>
            <w:bottom w:val="none" w:sz="0" w:space="0" w:color="auto"/>
            <w:right w:val="none" w:sz="0" w:space="0" w:color="auto"/>
          </w:divBdr>
        </w:div>
        <w:div w:id="1949391826">
          <w:marLeft w:val="0"/>
          <w:marRight w:val="0"/>
          <w:marTop w:val="0"/>
          <w:marBottom w:val="0"/>
          <w:divBdr>
            <w:top w:val="none" w:sz="0" w:space="0" w:color="auto"/>
            <w:left w:val="none" w:sz="0" w:space="0" w:color="auto"/>
            <w:bottom w:val="none" w:sz="0" w:space="0" w:color="auto"/>
            <w:right w:val="none" w:sz="0" w:space="0" w:color="auto"/>
          </w:divBdr>
        </w:div>
        <w:div w:id="953562816">
          <w:marLeft w:val="0"/>
          <w:marRight w:val="0"/>
          <w:marTop w:val="0"/>
          <w:marBottom w:val="0"/>
          <w:divBdr>
            <w:top w:val="none" w:sz="0" w:space="0" w:color="auto"/>
            <w:left w:val="none" w:sz="0" w:space="0" w:color="auto"/>
            <w:bottom w:val="none" w:sz="0" w:space="0" w:color="auto"/>
            <w:right w:val="none" w:sz="0" w:space="0" w:color="auto"/>
          </w:divBdr>
        </w:div>
        <w:div w:id="210388579">
          <w:marLeft w:val="0"/>
          <w:marRight w:val="0"/>
          <w:marTop w:val="0"/>
          <w:marBottom w:val="0"/>
          <w:divBdr>
            <w:top w:val="none" w:sz="0" w:space="0" w:color="auto"/>
            <w:left w:val="none" w:sz="0" w:space="0" w:color="auto"/>
            <w:bottom w:val="none" w:sz="0" w:space="0" w:color="auto"/>
            <w:right w:val="none" w:sz="0" w:space="0" w:color="auto"/>
          </w:divBdr>
        </w:div>
        <w:div w:id="1943798728">
          <w:marLeft w:val="0"/>
          <w:marRight w:val="0"/>
          <w:marTop w:val="0"/>
          <w:marBottom w:val="0"/>
          <w:divBdr>
            <w:top w:val="none" w:sz="0" w:space="0" w:color="auto"/>
            <w:left w:val="none" w:sz="0" w:space="0" w:color="auto"/>
            <w:bottom w:val="none" w:sz="0" w:space="0" w:color="auto"/>
            <w:right w:val="none" w:sz="0" w:space="0" w:color="auto"/>
          </w:divBdr>
        </w:div>
        <w:div w:id="279457390">
          <w:marLeft w:val="0"/>
          <w:marRight w:val="0"/>
          <w:marTop w:val="0"/>
          <w:marBottom w:val="0"/>
          <w:divBdr>
            <w:top w:val="none" w:sz="0" w:space="0" w:color="auto"/>
            <w:left w:val="none" w:sz="0" w:space="0" w:color="auto"/>
            <w:bottom w:val="none" w:sz="0" w:space="0" w:color="auto"/>
            <w:right w:val="none" w:sz="0" w:space="0" w:color="auto"/>
          </w:divBdr>
        </w:div>
        <w:div w:id="1465853554">
          <w:marLeft w:val="0"/>
          <w:marRight w:val="0"/>
          <w:marTop w:val="0"/>
          <w:marBottom w:val="0"/>
          <w:divBdr>
            <w:top w:val="none" w:sz="0" w:space="0" w:color="auto"/>
            <w:left w:val="none" w:sz="0" w:space="0" w:color="auto"/>
            <w:bottom w:val="none" w:sz="0" w:space="0" w:color="auto"/>
            <w:right w:val="none" w:sz="0" w:space="0" w:color="auto"/>
          </w:divBdr>
        </w:div>
        <w:div w:id="1921527196">
          <w:marLeft w:val="0"/>
          <w:marRight w:val="0"/>
          <w:marTop w:val="0"/>
          <w:marBottom w:val="0"/>
          <w:divBdr>
            <w:top w:val="none" w:sz="0" w:space="0" w:color="auto"/>
            <w:left w:val="none" w:sz="0" w:space="0" w:color="auto"/>
            <w:bottom w:val="none" w:sz="0" w:space="0" w:color="auto"/>
            <w:right w:val="none" w:sz="0" w:space="0" w:color="auto"/>
          </w:divBdr>
        </w:div>
        <w:div w:id="1310283702">
          <w:marLeft w:val="0"/>
          <w:marRight w:val="0"/>
          <w:marTop w:val="0"/>
          <w:marBottom w:val="0"/>
          <w:divBdr>
            <w:top w:val="none" w:sz="0" w:space="0" w:color="auto"/>
            <w:left w:val="none" w:sz="0" w:space="0" w:color="auto"/>
            <w:bottom w:val="none" w:sz="0" w:space="0" w:color="auto"/>
            <w:right w:val="none" w:sz="0" w:space="0" w:color="auto"/>
          </w:divBdr>
        </w:div>
      </w:divsChild>
    </w:div>
    <w:div w:id="700666534">
      <w:bodyDiv w:val="1"/>
      <w:marLeft w:val="0"/>
      <w:marRight w:val="0"/>
      <w:marTop w:val="0"/>
      <w:marBottom w:val="0"/>
      <w:divBdr>
        <w:top w:val="none" w:sz="0" w:space="0" w:color="auto"/>
        <w:left w:val="none" w:sz="0" w:space="0" w:color="auto"/>
        <w:bottom w:val="none" w:sz="0" w:space="0" w:color="auto"/>
        <w:right w:val="none" w:sz="0" w:space="0" w:color="auto"/>
      </w:divBdr>
    </w:div>
    <w:div w:id="800391270">
      <w:bodyDiv w:val="1"/>
      <w:marLeft w:val="0"/>
      <w:marRight w:val="0"/>
      <w:marTop w:val="0"/>
      <w:marBottom w:val="0"/>
      <w:divBdr>
        <w:top w:val="none" w:sz="0" w:space="0" w:color="auto"/>
        <w:left w:val="none" w:sz="0" w:space="0" w:color="auto"/>
        <w:bottom w:val="none" w:sz="0" w:space="0" w:color="auto"/>
        <w:right w:val="none" w:sz="0" w:space="0" w:color="auto"/>
      </w:divBdr>
    </w:div>
    <w:div w:id="1011029966">
      <w:bodyDiv w:val="1"/>
      <w:marLeft w:val="0"/>
      <w:marRight w:val="0"/>
      <w:marTop w:val="0"/>
      <w:marBottom w:val="0"/>
      <w:divBdr>
        <w:top w:val="none" w:sz="0" w:space="0" w:color="auto"/>
        <w:left w:val="none" w:sz="0" w:space="0" w:color="auto"/>
        <w:bottom w:val="none" w:sz="0" w:space="0" w:color="auto"/>
        <w:right w:val="none" w:sz="0" w:space="0" w:color="auto"/>
      </w:divBdr>
    </w:div>
    <w:div w:id="1437211239">
      <w:bodyDiv w:val="1"/>
      <w:marLeft w:val="0"/>
      <w:marRight w:val="0"/>
      <w:marTop w:val="0"/>
      <w:marBottom w:val="0"/>
      <w:divBdr>
        <w:top w:val="none" w:sz="0" w:space="0" w:color="auto"/>
        <w:left w:val="none" w:sz="0" w:space="0" w:color="auto"/>
        <w:bottom w:val="none" w:sz="0" w:space="0" w:color="auto"/>
        <w:right w:val="none" w:sz="0" w:space="0" w:color="auto"/>
      </w:divBdr>
    </w:div>
    <w:div w:id="1491024174">
      <w:bodyDiv w:val="1"/>
      <w:marLeft w:val="0"/>
      <w:marRight w:val="0"/>
      <w:marTop w:val="0"/>
      <w:marBottom w:val="0"/>
      <w:divBdr>
        <w:top w:val="none" w:sz="0" w:space="0" w:color="auto"/>
        <w:left w:val="none" w:sz="0" w:space="0" w:color="auto"/>
        <w:bottom w:val="none" w:sz="0" w:space="0" w:color="auto"/>
        <w:right w:val="none" w:sz="0" w:space="0" w:color="auto"/>
      </w:divBdr>
      <w:divsChild>
        <w:div w:id="2073037777">
          <w:marLeft w:val="0"/>
          <w:marRight w:val="0"/>
          <w:marTop w:val="30"/>
          <w:marBottom w:val="0"/>
          <w:divBdr>
            <w:top w:val="none" w:sz="0" w:space="0" w:color="auto"/>
            <w:left w:val="none" w:sz="0" w:space="0" w:color="auto"/>
            <w:bottom w:val="none" w:sz="0" w:space="0" w:color="auto"/>
            <w:right w:val="none" w:sz="0" w:space="0" w:color="auto"/>
          </w:divBdr>
        </w:div>
      </w:divsChild>
    </w:div>
    <w:div w:id="1597903447">
      <w:bodyDiv w:val="1"/>
      <w:marLeft w:val="0"/>
      <w:marRight w:val="0"/>
      <w:marTop w:val="0"/>
      <w:marBottom w:val="0"/>
      <w:divBdr>
        <w:top w:val="none" w:sz="0" w:space="0" w:color="auto"/>
        <w:left w:val="none" w:sz="0" w:space="0" w:color="auto"/>
        <w:bottom w:val="none" w:sz="0" w:space="0" w:color="auto"/>
        <w:right w:val="none" w:sz="0" w:space="0" w:color="auto"/>
      </w:divBdr>
    </w:div>
    <w:div w:id="1706253682">
      <w:bodyDiv w:val="1"/>
      <w:marLeft w:val="0"/>
      <w:marRight w:val="0"/>
      <w:marTop w:val="0"/>
      <w:marBottom w:val="0"/>
      <w:divBdr>
        <w:top w:val="none" w:sz="0" w:space="0" w:color="auto"/>
        <w:left w:val="none" w:sz="0" w:space="0" w:color="auto"/>
        <w:bottom w:val="none" w:sz="0" w:space="0" w:color="auto"/>
        <w:right w:val="none" w:sz="0" w:space="0" w:color="auto"/>
      </w:divBdr>
    </w:div>
    <w:div w:id="1807044384">
      <w:bodyDiv w:val="1"/>
      <w:marLeft w:val="0"/>
      <w:marRight w:val="0"/>
      <w:marTop w:val="0"/>
      <w:marBottom w:val="0"/>
      <w:divBdr>
        <w:top w:val="none" w:sz="0" w:space="0" w:color="auto"/>
        <w:left w:val="none" w:sz="0" w:space="0" w:color="auto"/>
        <w:bottom w:val="none" w:sz="0" w:space="0" w:color="auto"/>
        <w:right w:val="none" w:sz="0" w:space="0" w:color="auto"/>
      </w:divBdr>
    </w:div>
    <w:div w:id="205680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ommons.wikimedia.org/wiki/File:Saccharide-illustration.gif"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pixabay.com/cs/cukr-krystalov%C3%BD-cukr-kostka-cukru-2510536/"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youtube.com" TargetMode="External"/><Relationship Id="rId14" Type="http://schemas.openxmlformats.org/officeDocument/2006/relationships/comments" Target="comments.xml"/><Relationship Id="rId22" Type="http://schemas.openxmlformats.org/officeDocument/2006/relationships/hyperlink" Target="https://www.youtube.com/watch?v=rOowgw9N2YQ" TargetMode="External"/><Relationship Id="rId27" Type="http://schemas.microsoft.com/office/2011/relationships/people" Target="people.xml"/><Relationship Id="rId77" Type="http://schemas.microsoft.com/office/2016/09/relationships/commentsIds" Target="commentsId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DCB4D-C708-4EA0-A280-7D787F65D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1428</Words>
  <Characters>8426</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Hanča</dc:creator>
  <cp:keywords/>
  <dc:description/>
  <cp:lastModifiedBy>user</cp:lastModifiedBy>
  <cp:revision>4</cp:revision>
  <dcterms:created xsi:type="dcterms:W3CDTF">2020-08-28T19:21:00Z</dcterms:created>
  <dcterms:modified xsi:type="dcterms:W3CDTF">2020-09-09T14:57:00Z</dcterms:modified>
</cp:coreProperties>
</file>